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F9" w:rsidRDefault="000D33F9" w:rsidP="008F09FC">
      <w:pPr>
        <w:spacing w:after="0" w:line="240" w:lineRule="auto"/>
        <w:jc w:val="center"/>
        <w:rPr>
          <w:sz w:val="28"/>
          <w:szCs w:val="28"/>
          <w:lang w:val="ro-RO"/>
        </w:rPr>
      </w:pPr>
    </w:p>
    <w:p w:rsidR="00A95796" w:rsidRPr="007E6D7D" w:rsidRDefault="00A95796" w:rsidP="008F09FC">
      <w:pPr>
        <w:spacing w:after="0" w:line="240" w:lineRule="auto"/>
        <w:jc w:val="center"/>
        <w:rPr>
          <w:b/>
          <w:caps/>
          <w:sz w:val="28"/>
          <w:szCs w:val="28"/>
          <w:lang w:val="ro-RO"/>
        </w:rPr>
      </w:pPr>
      <w:r w:rsidRPr="007E6D7D">
        <w:rPr>
          <w:b/>
          <w:caps/>
          <w:sz w:val="28"/>
          <w:szCs w:val="28"/>
          <w:lang w:val="ro-RO"/>
        </w:rPr>
        <w:t>Note</w:t>
      </w:r>
    </w:p>
    <w:p w:rsidR="00A95796" w:rsidRPr="007E6D7D" w:rsidRDefault="006855C8" w:rsidP="008F09FC">
      <w:pPr>
        <w:spacing w:after="0" w:line="240" w:lineRule="auto"/>
        <w:jc w:val="center"/>
        <w:rPr>
          <w:b/>
          <w:sz w:val="28"/>
          <w:szCs w:val="28"/>
          <w:lang w:val="ro-RO"/>
        </w:rPr>
      </w:pPr>
      <w:r w:rsidRPr="007E6D7D">
        <w:rPr>
          <w:b/>
          <w:sz w:val="28"/>
          <w:szCs w:val="28"/>
          <w:lang w:val="ro-RO"/>
        </w:rPr>
        <w:t>r</w:t>
      </w:r>
      <w:r w:rsidR="00D56C07" w:rsidRPr="007E6D7D">
        <w:rPr>
          <w:b/>
          <w:sz w:val="28"/>
          <w:szCs w:val="28"/>
          <w:lang w:val="ro-RO"/>
        </w:rPr>
        <w:t>egarding the</w:t>
      </w:r>
      <w:r w:rsidRPr="007E6D7D">
        <w:rPr>
          <w:b/>
          <w:sz w:val="28"/>
          <w:szCs w:val="28"/>
          <w:lang w:val="ro-RO"/>
        </w:rPr>
        <w:t xml:space="preserve"> forecast</w:t>
      </w:r>
      <w:r w:rsidR="007E6D7D" w:rsidRPr="007E6D7D">
        <w:rPr>
          <w:b/>
          <w:sz w:val="28"/>
          <w:szCs w:val="28"/>
          <w:lang w:val="ro-RO"/>
        </w:rPr>
        <w:t xml:space="preserve"> at territorial profile</w:t>
      </w:r>
    </w:p>
    <w:p w:rsidR="00F92046" w:rsidRPr="003126E1" w:rsidRDefault="00F92046" w:rsidP="008F09FC">
      <w:pPr>
        <w:spacing w:after="0" w:line="240" w:lineRule="auto"/>
        <w:jc w:val="center"/>
        <w:rPr>
          <w:sz w:val="28"/>
          <w:szCs w:val="28"/>
          <w:lang w:val="ro-RO"/>
        </w:rPr>
      </w:pPr>
    </w:p>
    <w:p w:rsidR="00233A99" w:rsidRDefault="00ED7F86" w:rsidP="00066169">
      <w:pPr>
        <w:jc w:val="both"/>
        <w:rPr>
          <w:b/>
          <w:bCs/>
          <w:sz w:val="24"/>
          <w:szCs w:val="24"/>
          <w:lang w:val="ro-RO"/>
        </w:rPr>
      </w:pPr>
      <w:r>
        <w:rPr>
          <w:b/>
          <w:bCs/>
          <w:sz w:val="24"/>
          <w:szCs w:val="24"/>
          <w:lang w:val="ro-RO"/>
        </w:rPr>
        <w:t>The e</w:t>
      </w:r>
      <w:r w:rsidRPr="00ED7F86">
        <w:rPr>
          <w:b/>
          <w:bCs/>
          <w:sz w:val="24"/>
          <w:szCs w:val="24"/>
          <w:lang w:val="ro-RO"/>
        </w:rPr>
        <w:t xml:space="preserve">conomic developments in 2021 confirm the recovery of economic activity during the peak of the COVID-19 pandemic, but at the </w:t>
      </w:r>
      <w:r w:rsidR="006824BC">
        <w:rPr>
          <w:b/>
          <w:bCs/>
          <w:sz w:val="24"/>
          <w:szCs w:val="24"/>
          <w:lang w:val="ro-RO"/>
        </w:rPr>
        <w:t>County</w:t>
      </w:r>
      <w:r w:rsidRPr="00ED7F86">
        <w:rPr>
          <w:b/>
          <w:bCs/>
          <w:sz w:val="24"/>
          <w:szCs w:val="24"/>
          <w:lang w:val="ro-RO"/>
        </w:rPr>
        <w:t xml:space="preserve"> level some vulnerabilities persist.</w:t>
      </w:r>
    </w:p>
    <w:p w:rsidR="00EC4BAB" w:rsidRPr="00233A99" w:rsidRDefault="00EC4BAB" w:rsidP="00066169">
      <w:pPr>
        <w:jc w:val="both"/>
        <w:rPr>
          <w:b/>
          <w:bCs/>
          <w:sz w:val="24"/>
          <w:szCs w:val="24"/>
          <w:lang w:val="ro-RO"/>
        </w:rPr>
      </w:pPr>
      <w:r w:rsidRPr="00EC4BAB">
        <w:rPr>
          <w:sz w:val="24"/>
          <w:szCs w:val="24"/>
          <w:lang w:val="ro-RO"/>
        </w:rPr>
        <w:t xml:space="preserve">In the first nine months of 2021, Romania recorded a GDP growth in real terms </w:t>
      </w:r>
      <w:r w:rsidR="00CD3083">
        <w:rPr>
          <w:sz w:val="24"/>
          <w:szCs w:val="24"/>
          <w:lang w:val="ro-RO"/>
        </w:rPr>
        <w:t>of</w:t>
      </w:r>
      <w:r>
        <w:rPr>
          <w:sz w:val="24"/>
          <w:szCs w:val="24"/>
          <w:lang w:val="ro-RO"/>
        </w:rPr>
        <w:t xml:space="preserve"> </w:t>
      </w:r>
      <w:r w:rsidRPr="00EC4BAB">
        <w:rPr>
          <w:sz w:val="24"/>
          <w:szCs w:val="24"/>
          <w:lang w:val="ro-RO"/>
        </w:rPr>
        <w:t>7.1%, compared to the corresponding period of the previous year, with positive dynamics in all main sectors, except</w:t>
      </w:r>
      <w:r>
        <w:rPr>
          <w:sz w:val="24"/>
          <w:szCs w:val="24"/>
          <w:lang w:val="ro-RO"/>
        </w:rPr>
        <w:t xml:space="preserve">ing </w:t>
      </w:r>
      <w:r w:rsidR="0074461C">
        <w:rPr>
          <w:sz w:val="24"/>
          <w:szCs w:val="24"/>
          <w:lang w:val="ro-RO"/>
        </w:rPr>
        <w:t xml:space="preserve">for </w:t>
      </w:r>
      <w:r>
        <w:rPr>
          <w:sz w:val="24"/>
          <w:szCs w:val="24"/>
          <w:lang w:val="ro-RO"/>
        </w:rPr>
        <w:t>the</w:t>
      </w:r>
      <w:r w:rsidR="00CD3083">
        <w:rPr>
          <w:sz w:val="24"/>
          <w:szCs w:val="24"/>
          <w:lang w:val="ro-RO"/>
        </w:rPr>
        <w:t xml:space="preserve"> construction</w:t>
      </w:r>
      <w:r>
        <w:rPr>
          <w:sz w:val="24"/>
          <w:szCs w:val="24"/>
          <w:lang w:val="ro-RO"/>
        </w:rPr>
        <w:t xml:space="preserve"> sector </w:t>
      </w:r>
      <w:r w:rsidRPr="00EC4BAB">
        <w:rPr>
          <w:sz w:val="24"/>
          <w:szCs w:val="24"/>
          <w:lang w:val="ro-RO"/>
        </w:rPr>
        <w:t>(-0.1%)</w:t>
      </w:r>
      <w:r w:rsidR="00A266D4">
        <w:rPr>
          <w:sz w:val="24"/>
          <w:szCs w:val="24"/>
          <w:lang w:val="ro-RO"/>
        </w:rPr>
        <w:t>.</w:t>
      </w:r>
      <w:r w:rsidR="00A266D4" w:rsidRPr="00A266D4">
        <w:t xml:space="preserve"> </w:t>
      </w:r>
      <w:r w:rsidR="00A266D4" w:rsidRPr="00E8346A">
        <w:rPr>
          <w:sz w:val="24"/>
          <w:szCs w:val="24"/>
          <w:lang w:val="ro-RO"/>
        </w:rPr>
        <w:t xml:space="preserve">Gross value added in industry increased by 7.1% and in the services sector by 6.3%. In the conditions of an </w:t>
      </w:r>
      <w:r w:rsidR="00E8346A" w:rsidRPr="00E8346A">
        <w:rPr>
          <w:sz w:val="24"/>
          <w:szCs w:val="24"/>
          <w:lang w:val="ro-RO"/>
        </w:rPr>
        <w:t>outstanding</w:t>
      </w:r>
      <w:r w:rsidR="00A266D4" w:rsidRPr="00A266D4">
        <w:rPr>
          <w:sz w:val="24"/>
          <w:szCs w:val="24"/>
          <w:lang w:val="ro-RO"/>
        </w:rPr>
        <w:t xml:space="preserve"> agricultural year, the gross value added </w:t>
      </w:r>
      <w:r w:rsidR="0074461C">
        <w:rPr>
          <w:sz w:val="24"/>
          <w:szCs w:val="24"/>
          <w:lang w:val="ro-RO"/>
        </w:rPr>
        <w:t>in</w:t>
      </w:r>
      <w:r w:rsidR="00A266D4" w:rsidRPr="00A266D4">
        <w:rPr>
          <w:sz w:val="24"/>
          <w:szCs w:val="24"/>
          <w:lang w:val="ro-RO"/>
        </w:rPr>
        <w:t xml:space="preserve"> agriculture increased by 23.2%.</w:t>
      </w:r>
    </w:p>
    <w:p w:rsidR="00CE3E0A" w:rsidRPr="003126E1" w:rsidRDefault="00CE3E0A" w:rsidP="00066169">
      <w:pPr>
        <w:jc w:val="both"/>
        <w:rPr>
          <w:sz w:val="24"/>
          <w:szCs w:val="24"/>
          <w:lang w:val="ro-RO"/>
        </w:rPr>
      </w:pPr>
      <w:r w:rsidRPr="00CE3E0A">
        <w:rPr>
          <w:sz w:val="24"/>
          <w:szCs w:val="24"/>
          <w:lang w:val="ro-RO"/>
        </w:rPr>
        <w:t>In territorial terms, the data available at th</w:t>
      </w:r>
      <w:r w:rsidR="007E6D7D">
        <w:rPr>
          <w:sz w:val="24"/>
          <w:szCs w:val="24"/>
          <w:lang w:val="ro-RO"/>
        </w:rPr>
        <w:t>e end of September 2021 point out</w:t>
      </w:r>
      <w:r w:rsidRPr="00CE3E0A">
        <w:rPr>
          <w:sz w:val="24"/>
          <w:szCs w:val="24"/>
          <w:lang w:val="ro-RO"/>
        </w:rPr>
        <w:t xml:space="preserve"> that the recovery of activity at the aggregate level (GDP) </w:t>
      </w:r>
      <w:r w:rsidR="0005395B">
        <w:rPr>
          <w:sz w:val="24"/>
          <w:szCs w:val="24"/>
          <w:lang w:val="ro-RO"/>
        </w:rPr>
        <w:t>featured</w:t>
      </w:r>
      <w:r w:rsidR="0074461C">
        <w:rPr>
          <w:sz w:val="24"/>
          <w:szCs w:val="24"/>
          <w:lang w:val="ro-RO"/>
        </w:rPr>
        <w:t xml:space="preserve"> accross</w:t>
      </w:r>
      <w:r w:rsidR="0074461C" w:rsidRPr="00CE3E0A">
        <w:rPr>
          <w:sz w:val="24"/>
          <w:szCs w:val="24"/>
          <w:lang w:val="ro-RO"/>
        </w:rPr>
        <w:t xml:space="preserve"> </w:t>
      </w:r>
      <w:r w:rsidRPr="00CE3E0A">
        <w:rPr>
          <w:sz w:val="24"/>
          <w:szCs w:val="24"/>
          <w:lang w:val="ro-RO"/>
        </w:rPr>
        <w:t>all counties</w:t>
      </w:r>
      <w:r w:rsidR="0074461C">
        <w:rPr>
          <w:sz w:val="24"/>
          <w:szCs w:val="24"/>
          <w:lang w:val="ro-RO"/>
        </w:rPr>
        <w:t>. Moreover</w:t>
      </w:r>
      <w:r w:rsidR="007E6D7D">
        <w:rPr>
          <w:sz w:val="24"/>
          <w:szCs w:val="24"/>
          <w:lang w:val="ro-RO"/>
        </w:rPr>
        <w:t>,</w:t>
      </w:r>
      <w:r w:rsidRPr="00CE3E0A">
        <w:rPr>
          <w:sz w:val="24"/>
          <w:szCs w:val="24"/>
          <w:lang w:val="ro-RO"/>
        </w:rPr>
        <w:t xml:space="preserve"> in</w:t>
      </w:r>
      <w:r>
        <w:rPr>
          <w:sz w:val="24"/>
          <w:szCs w:val="24"/>
          <w:lang w:val="ro-RO"/>
        </w:rPr>
        <w:t xml:space="preserve"> the most counties</w:t>
      </w:r>
      <w:r w:rsidR="0074461C">
        <w:rPr>
          <w:sz w:val="24"/>
          <w:szCs w:val="24"/>
          <w:lang w:val="ro-RO"/>
        </w:rPr>
        <w:t>,</w:t>
      </w:r>
      <w:r w:rsidRPr="00CE3E0A">
        <w:rPr>
          <w:sz w:val="24"/>
          <w:szCs w:val="24"/>
          <w:lang w:val="ro-RO"/>
        </w:rPr>
        <w:t xml:space="preserve"> at the sectoral level</w:t>
      </w:r>
      <w:r w:rsidR="0074461C">
        <w:rPr>
          <w:sz w:val="24"/>
          <w:szCs w:val="24"/>
          <w:lang w:val="ro-RO"/>
        </w:rPr>
        <w:t>,</w:t>
      </w:r>
      <w:r w:rsidRPr="00CE3E0A">
        <w:rPr>
          <w:sz w:val="24"/>
          <w:szCs w:val="24"/>
          <w:lang w:val="ro-RO"/>
        </w:rPr>
        <w:t xml:space="preserve"> the loss from the previous year was recovered.</w:t>
      </w:r>
    </w:p>
    <w:p w:rsidR="00A9345D" w:rsidRDefault="00846044" w:rsidP="00066169">
      <w:pPr>
        <w:jc w:val="both"/>
        <w:rPr>
          <w:sz w:val="24"/>
          <w:szCs w:val="24"/>
          <w:lang w:val="ro-RO"/>
        </w:rPr>
      </w:pPr>
      <w:r w:rsidRPr="00846044">
        <w:rPr>
          <w:sz w:val="24"/>
          <w:szCs w:val="24"/>
          <w:lang w:val="ro-RO"/>
        </w:rPr>
        <w:t xml:space="preserve">Given the importance of industrial activity </w:t>
      </w:r>
      <w:r w:rsidR="0005395B">
        <w:rPr>
          <w:sz w:val="24"/>
          <w:szCs w:val="24"/>
          <w:lang w:val="ro-RO"/>
        </w:rPr>
        <w:t>both in terms of the engaging</w:t>
      </w:r>
      <w:r w:rsidRPr="00846044">
        <w:rPr>
          <w:sz w:val="24"/>
          <w:szCs w:val="24"/>
          <w:lang w:val="ro-RO"/>
        </w:rPr>
        <w:t xml:space="preserve"> of other sectors of the economy and its feature as a </w:t>
      </w:r>
      <w:r>
        <w:rPr>
          <w:sz w:val="24"/>
          <w:szCs w:val="24"/>
          <w:lang w:val="ro-RO"/>
        </w:rPr>
        <w:t>main</w:t>
      </w:r>
      <w:r w:rsidRPr="00846044">
        <w:rPr>
          <w:sz w:val="24"/>
          <w:szCs w:val="24"/>
          <w:lang w:val="ro-RO"/>
        </w:rPr>
        <w:t xml:space="preserve"> exporter, its territorial relevance is essential.</w:t>
      </w:r>
      <w:r w:rsidR="003023B6" w:rsidRPr="003023B6">
        <w:t xml:space="preserve"> </w:t>
      </w:r>
      <w:r w:rsidR="003023B6" w:rsidRPr="003023B6">
        <w:rPr>
          <w:sz w:val="24"/>
          <w:szCs w:val="24"/>
          <w:lang w:val="ro-RO"/>
        </w:rPr>
        <w:t xml:space="preserve">Thus, in the first nine months of 2021, </w:t>
      </w:r>
      <w:r w:rsidR="003023B6">
        <w:rPr>
          <w:sz w:val="24"/>
          <w:szCs w:val="24"/>
          <w:lang w:val="ro-RO"/>
        </w:rPr>
        <w:t xml:space="preserve">the </w:t>
      </w:r>
      <w:r w:rsidR="003023B6" w:rsidRPr="003023B6">
        <w:rPr>
          <w:sz w:val="24"/>
          <w:szCs w:val="24"/>
          <w:lang w:val="ro-RO"/>
        </w:rPr>
        <w:t>industrial productio</w:t>
      </w:r>
      <w:r w:rsidR="00166756">
        <w:rPr>
          <w:sz w:val="24"/>
          <w:szCs w:val="24"/>
          <w:lang w:val="ro-RO"/>
        </w:rPr>
        <w:t>n increased its volume by 10.5%</w:t>
      </w:r>
      <w:r w:rsidR="009C77B4">
        <w:rPr>
          <w:sz w:val="24"/>
          <w:szCs w:val="24"/>
          <w:lang w:val="ro-RO"/>
        </w:rPr>
        <w:t xml:space="preserve"> as </w:t>
      </w:r>
      <w:r w:rsidR="003023B6" w:rsidRPr="003023B6">
        <w:rPr>
          <w:sz w:val="24"/>
          <w:szCs w:val="24"/>
          <w:lang w:val="ro-RO"/>
        </w:rPr>
        <w:t>compared to the corresponding period of the previous year, while, in similar terms, in 2020</w:t>
      </w:r>
      <w:r w:rsidR="003023B6">
        <w:rPr>
          <w:sz w:val="24"/>
          <w:szCs w:val="24"/>
          <w:lang w:val="ro-RO"/>
        </w:rPr>
        <w:t xml:space="preserve"> the </w:t>
      </w:r>
      <w:r w:rsidR="0005395B">
        <w:rPr>
          <w:sz w:val="24"/>
          <w:szCs w:val="24"/>
          <w:lang w:val="ro-RO"/>
        </w:rPr>
        <w:t>industrial activity reduced</w:t>
      </w:r>
      <w:r w:rsidR="003023B6" w:rsidRPr="003023B6">
        <w:rPr>
          <w:sz w:val="24"/>
          <w:szCs w:val="24"/>
          <w:lang w:val="ro-RO"/>
        </w:rPr>
        <w:t xml:space="preserve"> by 12.1%.</w:t>
      </w:r>
    </w:p>
    <w:p w:rsidR="00BB2176" w:rsidRDefault="00834EFF" w:rsidP="00BB2176">
      <w:pPr>
        <w:jc w:val="center"/>
        <w:rPr>
          <w:b/>
          <w:bCs/>
          <w:sz w:val="24"/>
          <w:szCs w:val="24"/>
          <w:lang w:val="ro-RO"/>
        </w:rPr>
      </w:pPr>
      <w:r>
        <w:rPr>
          <w:b/>
          <w:bCs/>
          <w:sz w:val="24"/>
          <w:szCs w:val="24"/>
          <w:lang w:val="ro-RO"/>
        </w:rPr>
        <w:t>Chart</w:t>
      </w:r>
      <w:r w:rsidR="005B4D5C" w:rsidRPr="005B4D5C">
        <w:rPr>
          <w:b/>
          <w:bCs/>
          <w:sz w:val="24"/>
          <w:szCs w:val="24"/>
          <w:lang w:val="ro-RO"/>
        </w:rPr>
        <w:t xml:space="preserve"> 1</w:t>
      </w:r>
      <w:r>
        <w:rPr>
          <w:b/>
          <w:bCs/>
          <w:sz w:val="24"/>
          <w:szCs w:val="24"/>
          <w:lang w:val="ro-RO"/>
        </w:rPr>
        <w:t xml:space="preserve"> Real growth in </w:t>
      </w:r>
      <w:r w:rsidR="005B4D5C">
        <w:rPr>
          <w:b/>
          <w:bCs/>
          <w:sz w:val="24"/>
          <w:szCs w:val="24"/>
          <w:lang w:val="ro-RO"/>
        </w:rPr>
        <w:t>I</w:t>
      </w:r>
      <w:r w:rsidR="005B4D5C" w:rsidRPr="005B4D5C">
        <w:rPr>
          <w:b/>
          <w:bCs/>
          <w:sz w:val="24"/>
          <w:szCs w:val="24"/>
          <w:lang w:val="ro-RO"/>
        </w:rPr>
        <w:t>nd</w:t>
      </w:r>
      <w:r>
        <w:rPr>
          <w:b/>
          <w:bCs/>
          <w:sz w:val="24"/>
          <w:szCs w:val="24"/>
          <w:lang w:val="ro-RO"/>
        </w:rPr>
        <w:t>ustrial production</w:t>
      </w:r>
    </w:p>
    <w:p w:rsidR="00834EFF" w:rsidRDefault="00834EFF" w:rsidP="00BB2176">
      <w:pPr>
        <w:jc w:val="center"/>
        <w:rPr>
          <w:sz w:val="24"/>
          <w:szCs w:val="24"/>
          <w:lang w:val="ro-RO"/>
        </w:rPr>
      </w:pPr>
      <w:r w:rsidRPr="00834EFF">
        <w:rPr>
          <w:b/>
          <w:bCs/>
          <w:noProof/>
          <w:sz w:val="24"/>
          <w:szCs w:val="24"/>
        </w:rPr>
        <w:drawing>
          <wp:inline distT="0" distB="0" distL="0" distR="0">
            <wp:extent cx="4322362" cy="2759102"/>
            <wp:effectExtent l="19050" t="0" r="21038" b="3148"/>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0992" w:rsidRDefault="00640992" w:rsidP="00066169">
      <w:pPr>
        <w:jc w:val="both"/>
        <w:rPr>
          <w:sz w:val="24"/>
          <w:szCs w:val="24"/>
          <w:lang w:val="ro-RO"/>
        </w:rPr>
      </w:pPr>
      <w:r w:rsidRPr="00640992">
        <w:rPr>
          <w:sz w:val="24"/>
          <w:szCs w:val="24"/>
          <w:lang w:val="ro-RO"/>
        </w:rPr>
        <w:lastRenderedPageBreak/>
        <w:t xml:space="preserve">The negative gap of industrial recovery is located at the level of six counties (Chart 1), as follows: Teleorman, Botoşani, Constanţa, Covasna and Dolj, which continued their negative evolution in 2021, </w:t>
      </w:r>
      <w:r w:rsidR="0074461C">
        <w:rPr>
          <w:sz w:val="24"/>
          <w:szCs w:val="24"/>
          <w:lang w:val="ro-RO"/>
        </w:rPr>
        <w:t>although</w:t>
      </w:r>
      <w:r w:rsidRPr="00640992">
        <w:rPr>
          <w:sz w:val="24"/>
          <w:szCs w:val="24"/>
          <w:lang w:val="ro-RO"/>
        </w:rPr>
        <w:t xml:space="preserve"> to a</w:t>
      </w:r>
      <w:r>
        <w:rPr>
          <w:sz w:val="24"/>
          <w:szCs w:val="24"/>
          <w:lang w:val="ro-RO"/>
        </w:rPr>
        <w:t>n</w:t>
      </w:r>
      <w:r w:rsidRPr="00640992">
        <w:rPr>
          <w:sz w:val="24"/>
          <w:szCs w:val="24"/>
          <w:lang w:val="ro-RO"/>
        </w:rPr>
        <w:t xml:space="preserve"> </w:t>
      </w:r>
      <w:r w:rsidR="0005395B">
        <w:rPr>
          <w:sz w:val="24"/>
          <w:szCs w:val="24"/>
          <w:lang w:val="ro-RO"/>
        </w:rPr>
        <w:t>alleviated</w:t>
      </w:r>
      <w:r w:rsidRPr="00640992">
        <w:rPr>
          <w:sz w:val="24"/>
          <w:szCs w:val="24"/>
          <w:lang w:val="ro-RO"/>
        </w:rPr>
        <w:t xml:space="preserve"> extent </w:t>
      </w:r>
      <w:r>
        <w:rPr>
          <w:sz w:val="24"/>
          <w:szCs w:val="24"/>
          <w:lang w:val="ro-RO"/>
        </w:rPr>
        <w:t xml:space="preserve">as </w:t>
      </w:r>
      <w:r w:rsidRPr="00640992">
        <w:rPr>
          <w:sz w:val="24"/>
          <w:szCs w:val="24"/>
          <w:lang w:val="ro-RO"/>
        </w:rPr>
        <w:t>compared to last year</w:t>
      </w:r>
      <w:r>
        <w:rPr>
          <w:sz w:val="24"/>
          <w:szCs w:val="24"/>
          <w:lang w:val="ro-RO"/>
        </w:rPr>
        <w:t>.</w:t>
      </w:r>
      <w:r w:rsidRPr="00640992">
        <w:t xml:space="preserve"> </w:t>
      </w:r>
      <w:r w:rsidR="0005395B">
        <w:rPr>
          <w:sz w:val="24"/>
          <w:szCs w:val="24"/>
          <w:lang w:val="ro-RO"/>
        </w:rPr>
        <w:t xml:space="preserve">In Ialomiţa </w:t>
      </w:r>
      <w:r w:rsidR="006824BC">
        <w:rPr>
          <w:sz w:val="24"/>
          <w:szCs w:val="24"/>
          <w:lang w:val="ro-RO"/>
        </w:rPr>
        <w:t>County</w:t>
      </w:r>
      <w:r w:rsidRPr="00640992">
        <w:rPr>
          <w:sz w:val="24"/>
          <w:szCs w:val="24"/>
          <w:lang w:val="ro-RO"/>
        </w:rPr>
        <w:t>, the slight decrease in the volume of industrial production can be explained in terms of the bas</w:t>
      </w:r>
      <w:r w:rsidR="0074461C">
        <w:rPr>
          <w:sz w:val="24"/>
          <w:szCs w:val="24"/>
          <w:lang w:val="ro-RO"/>
        </w:rPr>
        <w:t>e</w:t>
      </w:r>
      <w:r w:rsidRPr="00640992">
        <w:rPr>
          <w:sz w:val="24"/>
          <w:szCs w:val="24"/>
          <w:lang w:val="ro-RO"/>
        </w:rPr>
        <w:t xml:space="preserve"> effect (+ 28.3% in the first nine months of 2020).</w:t>
      </w:r>
    </w:p>
    <w:p w:rsidR="001C3BFF" w:rsidRDefault="005E0DB3" w:rsidP="00066169">
      <w:pPr>
        <w:jc w:val="both"/>
        <w:rPr>
          <w:sz w:val="24"/>
          <w:szCs w:val="24"/>
          <w:lang w:val="ro-RO"/>
        </w:rPr>
      </w:pPr>
      <w:r w:rsidRPr="005E0DB3">
        <w:rPr>
          <w:sz w:val="24"/>
          <w:szCs w:val="24"/>
          <w:lang w:val="ro-RO"/>
        </w:rPr>
        <w:t xml:space="preserve">Regarding the evolution of the industry </w:t>
      </w:r>
      <w:r>
        <w:rPr>
          <w:sz w:val="24"/>
          <w:szCs w:val="24"/>
          <w:lang w:val="ro-RO"/>
        </w:rPr>
        <w:t>turnover</w:t>
      </w:r>
      <w:r w:rsidRPr="005E0DB3">
        <w:rPr>
          <w:sz w:val="24"/>
          <w:szCs w:val="24"/>
          <w:lang w:val="ro-RO"/>
        </w:rPr>
        <w:t xml:space="preserve">, which is statistically reported in nominal value expressed in current prices, </w:t>
      </w:r>
      <w:r w:rsidR="001C3BFF">
        <w:rPr>
          <w:sz w:val="24"/>
          <w:szCs w:val="24"/>
          <w:lang w:val="ro-RO"/>
        </w:rPr>
        <w:t>in</w:t>
      </w:r>
      <w:r>
        <w:rPr>
          <w:sz w:val="24"/>
          <w:szCs w:val="24"/>
          <w:lang w:val="ro-RO"/>
        </w:rPr>
        <w:t xml:space="preserve"> </w:t>
      </w:r>
      <w:r w:rsidRPr="005E0DB3">
        <w:rPr>
          <w:sz w:val="24"/>
          <w:szCs w:val="24"/>
          <w:lang w:val="ro-RO"/>
        </w:rPr>
        <w:t>compar</w:t>
      </w:r>
      <w:r w:rsidR="001C3BFF">
        <w:rPr>
          <w:sz w:val="24"/>
          <w:szCs w:val="24"/>
          <w:lang w:val="ro-RO"/>
        </w:rPr>
        <w:t>ison with</w:t>
      </w:r>
      <w:r w:rsidRPr="005E0DB3">
        <w:rPr>
          <w:sz w:val="24"/>
          <w:szCs w:val="24"/>
          <w:lang w:val="ro-RO"/>
        </w:rPr>
        <w:t xml:space="preserve"> the volume of production, it is observed, first of all, the fact that a significantly higher number of counties</w:t>
      </w:r>
      <w:r>
        <w:rPr>
          <w:sz w:val="24"/>
          <w:szCs w:val="24"/>
          <w:lang w:val="ro-RO"/>
        </w:rPr>
        <w:t xml:space="preserve"> benefited from </w:t>
      </w:r>
      <w:r w:rsidR="001C3BFF" w:rsidRPr="001C3BFF">
        <w:rPr>
          <w:sz w:val="24"/>
          <w:szCs w:val="24"/>
          <w:lang w:val="ro-RO"/>
        </w:rPr>
        <w:t>this year's price increases</w:t>
      </w:r>
      <w:r w:rsidR="001C3BFF">
        <w:rPr>
          <w:sz w:val="24"/>
          <w:szCs w:val="24"/>
          <w:lang w:val="ro-RO"/>
        </w:rPr>
        <w:t>.</w:t>
      </w:r>
      <w:r w:rsidR="001C3BFF" w:rsidRPr="001C3BFF">
        <w:rPr>
          <w:sz w:val="24"/>
          <w:szCs w:val="24"/>
          <w:lang w:val="ro-RO"/>
        </w:rPr>
        <w:t xml:space="preserve"> </w:t>
      </w:r>
      <w:r w:rsidR="009D6D50">
        <w:rPr>
          <w:sz w:val="24"/>
          <w:szCs w:val="24"/>
          <w:lang w:val="ro-RO"/>
        </w:rPr>
        <w:t>H</w:t>
      </w:r>
      <w:r w:rsidR="009D6D50" w:rsidRPr="009D6D50">
        <w:rPr>
          <w:sz w:val="24"/>
          <w:szCs w:val="24"/>
          <w:lang w:val="ro-RO"/>
        </w:rPr>
        <w:t xml:space="preserve">owever </w:t>
      </w:r>
      <w:r w:rsidR="009D6D50">
        <w:rPr>
          <w:sz w:val="24"/>
          <w:szCs w:val="24"/>
          <w:lang w:val="ro-RO"/>
        </w:rPr>
        <w:t>i</w:t>
      </w:r>
      <w:r w:rsidR="009D6D50" w:rsidRPr="009D6D50">
        <w:rPr>
          <w:sz w:val="24"/>
          <w:szCs w:val="24"/>
          <w:lang w:val="ro-RO"/>
        </w:rPr>
        <w:t>t is also possibl</w:t>
      </w:r>
      <w:r w:rsidR="009D6D50">
        <w:rPr>
          <w:sz w:val="24"/>
          <w:szCs w:val="24"/>
          <w:lang w:val="ro-RO"/>
        </w:rPr>
        <w:t>e that some limited influences</w:t>
      </w:r>
      <w:r w:rsidR="009D6D50" w:rsidRPr="009D6D50">
        <w:rPr>
          <w:sz w:val="24"/>
          <w:szCs w:val="24"/>
          <w:lang w:val="ro-RO"/>
        </w:rPr>
        <w:t xml:space="preserve"> may come from other components of turnover.</w:t>
      </w:r>
    </w:p>
    <w:p w:rsidR="00802C11" w:rsidRDefault="00564130" w:rsidP="00066169">
      <w:pPr>
        <w:jc w:val="both"/>
        <w:rPr>
          <w:sz w:val="24"/>
          <w:szCs w:val="24"/>
          <w:lang w:val="ro-RO"/>
        </w:rPr>
      </w:pPr>
      <w:r w:rsidRPr="00564130">
        <w:rPr>
          <w:sz w:val="24"/>
          <w:szCs w:val="24"/>
          <w:lang w:val="ro-RO"/>
        </w:rPr>
        <w:t>At the national level,</w:t>
      </w:r>
      <w:r w:rsidR="00CE6943" w:rsidRPr="00CE6943">
        <w:rPr>
          <w:sz w:val="24"/>
          <w:szCs w:val="24"/>
          <w:lang w:val="ro-RO"/>
        </w:rPr>
        <w:t xml:space="preserve"> </w:t>
      </w:r>
      <w:r w:rsidR="00CE6943" w:rsidRPr="00564130">
        <w:rPr>
          <w:sz w:val="24"/>
          <w:szCs w:val="24"/>
          <w:lang w:val="ro-RO"/>
        </w:rPr>
        <w:t>in the first nine months of 2021</w:t>
      </w:r>
      <w:r w:rsidR="00CE6943">
        <w:rPr>
          <w:sz w:val="24"/>
          <w:szCs w:val="24"/>
          <w:lang w:val="ro-RO"/>
        </w:rPr>
        <w:t>,</w:t>
      </w:r>
      <w:r w:rsidR="00CE6943" w:rsidRPr="00564130">
        <w:rPr>
          <w:sz w:val="24"/>
          <w:szCs w:val="24"/>
          <w:lang w:val="ro-RO"/>
        </w:rPr>
        <w:t xml:space="preserve"> </w:t>
      </w:r>
      <w:r w:rsidRPr="00564130">
        <w:rPr>
          <w:sz w:val="24"/>
          <w:szCs w:val="24"/>
          <w:lang w:val="ro-RO"/>
        </w:rPr>
        <w:t>the dynamics of the value of industry</w:t>
      </w:r>
      <w:r>
        <w:rPr>
          <w:sz w:val="24"/>
          <w:szCs w:val="24"/>
          <w:lang w:val="ro-RO"/>
        </w:rPr>
        <w:t xml:space="preserve"> turnover </w:t>
      </w:r>
      <w:r w:rsidRPr="00564130">
        <w:rPr>
          <w:sz w:val="24"/>
          <w:szCs w:val="24"/>
          <w:lang w:val="ro-RO"/>
        </w:rPr>
        <w:t>was 20.8% compared to the same period of the previous year, while in 2020, in the same period, the v</w:t>
      </w:r>
      <w:r w:rsidR="00CE6943">
        <w:rPr>
          <w:sz w:val="24"/>
          <w:szCs w:val="24"/>
          <w:lang w:val="ro-RO"/>
        </w:rPr>
        <w:t>alue of turnover decreased by 9,</w:t>
      </w:r>
      <w:r w:rsidRPr="00564130">
        <w:rPr>
          <w:sz w:val="24"/>
          <w:szCs w:val="24"/>
          <w:lang w:val="ro-RO"/>
        </w:rPr>
        <w:t>7%.</w:t>
      </w:r>
      <w:r w:rsidR="00DA2284" w:rsidRPr="00DA2284">
        <w:t xml:space="preserve"> </w:t>
      </w:r>
      <w:r w:rsidR="00DA2284" w:rsidRPr="00DA2284">
        <w:rPr>
          <w:sz w:val="24"/>
          <w:szCs w:val="24"/>
          <w:lang w:val="ro-RO"/>
        </w:rPr>
        <w:t xml:space="preserve">In 2021, only two counties (Prahova through the extractive and processing industry and Teleorman) continued their negative evolution </w:t>
      </w:r>
      <w:r w:rsidR="00DA2284">
        <w:rPr>
          <w:sz w:val="24"/>
          <w:szCs w:val="24"/>
          <w:lang w:val="ro-RO"/>
        </w:rPr>
        <w:t xml:space="preserve">from </w:t>
      </w:r>
      <w:r w:rsidR="00DA2284" w:rsidRPr="00DA2284">
        <w:rPr>
          <w:sz w:val="24"/>
          <w:szCs w:val="24"/>
          <w:lang w:val="ro-RO"/>
        </w:rPr>
        <w:t xml:space="preserve">2020 in terms of the nominal value of </w:t>
      </w:r>
      <w:r w:rsidR="00DA2284" w:rsidRPr="00564130">
        <w:rPr>
          <w:sz w:val="24"/>
          <w:szCs w:val="24"/>
          <w:lang w:val="ro-RO"/>
        </w:rPr>
        <w:t>industry</w:t>
      </w:r>
      <w:r w:rsidR="00DA2284">
        <w:rPr>
          <w:sz w:val="24"/>
          <w:szCs w:val="24"/>
          <w:lang w:val="ro-RO"/>
        </w:rPr>
        <w:t xml:space="preserve"> turnover</w:t>
      </w:r>
      <w:r w:rsidR="00DA2284" w:rsidRPr="00DA2284">
        <w:rPr>
          <w:sz w:val="24"/>
          <w:szCs w:val="24"/>
          <w:lang w:val="ro-RO"/>
        </w:rPr>
        <w:t>.</w:t>
      </w:r>
      <w:r w:rsidR="001951F5" w:rsidRPr="001951F5">
        <w:t xml:space="preserve"> </w:t>
      </w:r>
      <w:r w:rsidR="0005395B">
        <w:rPr>
          <w:sz w:val="24"/>
          <w:szCs w:val="24"/>
          <w:lang w:val="ro-RO"/>
        </w:rPr>
        <w:t xml:space="preserve">Dolj </w:t>
      </w:r>
      <w:r w:rsidR="006824BC">
        <w:rPr>
          <w:sz w:val="24"/>
          <w:szCs w:val="24"/>
          <w:lang w:val="ro-RO"/>
        </w:rPr>
        <w:t>County</w:t>
      </w:r>
      <w:r w:rsidR="001951F5" w:rsidRPr="001951F5">
        <w:rPr>
          <w:sz w:val="24"/>
          <w:szCs w:val="24"/>
          <w:lang w:val="ro-RO"/>
        </w:rPr>
        <w:t xml:space="preserve"> was located on the border with approximately zero dynamics in 2021, given that in 2020 it was one of the counties with growth supported mainly by the car industry.</w:t>
      </w:r>
    </w:p>
    <w:p w:rsidR="00C27487" w:rsidRPr="003126E1" w:rsidRDefault="0005395B" w:rsidP="00066169">
      <w:pPr>
        <w:jc w:val="both"/>
        <w:rPr>
          <w:sz w:val="24"/>
          <w:szCs w:val="24"/>
          <w:lang w:val="ro-RO"/>
        </w:rPr>
      </w:pPr>
      <w:r>
        <w:rPr>
          <w:sz w:val="24"/>
          <w:szCs w:val="24"/>
          <w:lang w:val="ro-RO"/>
        </w:rPr>
        <w:t>We underline</w:t>
      </w:r>
      <w:r w:rsidR="00C27487" w:rsidRPr="00C27487">
        <w:rPr>
          <w:sz w:val="24"/>
          <w:szCs w:val="24"/>
          <w:lang w:val="ro-RO"/>
        </w:rPr>
        <w:t xml:space="preserve"> that in real terms, the turnover had a dynamic close to the industrial production, respectively 10.2%, since in the first nine months of 2021 the rate of increase in industrial production prices was of 9.6% compared to the first nine months from 2020.</w:t>
      </w:r>
    </w:p>
    <w:p w:rsidR="00203078" w:rsidRPr="003126E1" w:rsidRDefault="00153EDC" w:rsidP="00066169">
      <w:pPr>
        <w:jc w:val="both"/>
        <w:rPr>
          <w:sz w:val="24"/>
          <w:szCs w:val="24"/>
          <w:lang w:val="ro-RO"/>
        </w:rPr>
      </w:pPr>
      <w:r w:rsidRPr="00153EDC">
        <w:rPr>
          <w:sz w:val="24"/>
          <w:szCs w:val="24"/>
          <w:lang w:val="ro-RO"/>
        </w:rPr>
        <w:t xml:space="preserve">In the first eight months of 2021, Romania's </w:t>
      </w:r>
      <w:r w:rsidR="00673BC0" w:rsidRPr="00673BC0">
        <w:rPr>
          <w:b/>
          <w:sz w:val="24"/>
          <w:szCs w:val="24"/>
          <w:lang w:val="ro-RO"/>
        </w:rPr>
        <w:t>exports of goods</w:t>
      </w:r>
      <w:r w:rsidRPr="00153EDC">
        <w:rPr>
          <w:sz w:val="24"/>
          <w:szCs w:val="24"/>
          <w:lang w:val="ro-RO"/>
        </w:rPr>
        <w:t xml:space="preserve"> (FOB) increased by 24.4% compared to the corresponding period of 2020.</w:t>
      </w:r>
      <w:r w:rsidR="0088122F" w:rsidRPr="0088122F">
        <w:t xml:space="preserve"> </w:t>
      </w:r>
      <w:r w:rsidR="0088122F" w:rsidRPr="0088122F">
        <w:rPr>
          <w:sz w:val="24"/>
          <w:szCs w:val="24"/>
          <w:lang w:val="ro-RO"/>
        </w:rPr>
        <w:t>T</w:t>
      </w:r>
      <w:r w:rsidR="0005395B">
        <w:rPr>
          <w:sz w:val="24"/>
          <w:szCs w:val="24"/>
          <w:lang w:val="ro-RO"/>
        </w:rPr>
        <w:t>his significant increase generate</w:t>
      </w:r>
      <w:r w:rsidR="0088122F" w:rsidRPr="0088122F">
        <w:rPr>
          <w:sz w:val="24"/>
          <w:szCs w:val="24"/>
          <w:lang w:val="ro-RO"/>
        </w:rPr>
        <w:t xml:space="preserve"> the value of Romanian exports in the analyzed period to be 5.3% above the value recorded in the same period in 2019.</w:t>
      </w:r>
      <w:r w:rsidR="0088122F" w:rsidRPr="0088122F">
        <w:t xml:space="preserve"> </w:t>
      </w:r>
      <w:r w:rsidR="0088122F" w:rsidRPr="0088122F">
        <w:rPr>
          <w:sz w:val="24"/>
          <w:szCs w:val="24"/>
          <w:lang w:val="ro-RO"/>
        </w:rPr>
        <w:t xml:space="preserve">The recovery above expectations at the level of total exports of goods, </w:t>
      </w:r>
      <w:r w:rsidR="0088122F">
        <w:rPr>
          <w:sz w:val="24"/>
          <w:szCs w:val="24"/>
          <w:lang w:val="ro-RO"/>
        </w:rPr>
        <w:t>g</w:t>
      </w:r>
      <w:r w:rsidR="0088122F" w:rsidRPr="0088122F">
        <w:rPr>
          <w:sz w:val="24"/>
          <w:szCs w:val="24"/>
          <w:lang w:val="ro-RO"/>
        </w:rPr>
        <w:t>iven that global external demand has not fully recovered in 2021, demonstrates the high competitiveness of Romanian products</w:t>
      </w:r>
      <w:r w:rsidR="008840BC">
        <w:rPr>
          <w:sz w:val="24"/>
          <w:szCs w:val="24"/>
          <w:lang w:val="ro-RO"/>
        </w:rPr>
        <w:t>.</w:t>
      </w:r>
      <w:r w:rsidR="008840BC" w:rsidRPr="008840BC">
        <w:rPr>
          <w:sz w:val="24"/>
          <w:szCs w:val="24"/>
          <w:lang w:val="ro-RO"/>
        </w:rPr>
        <w:t xml:space="preserve"> </w:t>
      </w:r>
      <w:r w:rsidR="008840BC">
        <w:rPr>
          <w:sz w:val="24"/>
          <w:szCs w:val="24"/>
          <w:lang w:val="ro-RO"/>
        </w:rPr>
        <w:t>T</w:t>
      </w:r>
      <w:r w:rsidR="008840BC" w:rsidRPr="008840BC">
        <w:rPr>
          <w:sz w:val="24"/>
          <w:szCs w:val="24"/>
          <w:lang w:val="ro-RO"/>
        </w:rPr>
        <w:t xml:space="preserve">his dynamic also includes an important price component, which </w:t>
      </w:r>
      <w:r w:rsidR="008840BC">
        <w:rPr>
          <w:sz w:val="24"/>
          <w:szCs w:val="24"/>
          <w:lang w:val="ro-RO"/>
        </w:rPr>
        <w:t xml:space="preserve">is </w:t>
      </w:r>
      <w:r w:rsidR="008840BC" w:rsidRPr="008840BC">
        <w:rPr>
          <w:sz w:val="24"/>
          <w:szCs w:val="24"/>
          <w:lang w:val="ro-RO"/>
        </w:rPr>
        <w:t xml:space="preserve">mainly </w:t>
      </w:r>
      <w:r w:rsidR="0074461C">
        <w:rPr>
          <w:sz w:val="24"/>
          <w:szCs w:val="24"/>
          <w:lang w:val="ro-RO"/>
        </w:rPr>
        <w:t>visible</w:t>
      </w:r>
      <w:r w:rsidR="008840BC" w:rsidRPr="008840BC">
        <w:rPr>
          <w:sz w:val="24"/>
          <w:szCs w:val="24"/>
          <w:lang w:val="ro-RO"/>
        </w:rPr>
        <w:t xml:space="preserve"> in 2021.</w:t>
      </w:r>
    </w:p>
    <w:p w:rsidR="00110BD7" w:rsidRDefault="00110BD7" w:rsidP="00066169">
      <w:pPr>
        <w:jc w:val="both"/>
        <w:rPr>
          <w:sz w:val="24"/>
          <w:szCs w:val="24"/>
          <w:lang w:val="ro-RO"/>
        </w:rPr>
      </w:pPr>
      <w:r w:rsidRPr="00110BD7">
        <w:rPr>
          <w:sz w:val="24"/>
          <w:szCs w:val="24"/>
          <w:lang w:val="ro-RO"/>
        </w:rPr>
        <w:t>However, th</w:t>
      </w:r>
      <w:r w:rsidR="0005395B">
        <w:rPr>
          <w:sz w:val="24"/>
          <w:szCs w:val="24"/>
          <w:lang w:val="ro-RO"/>
        </w:rPr>
        <w:t>ere were several counties (Botoş</w:t>
      </w:r>
      <w:r w:rsidRPr="00110BD7">
        <w:rPr>
          <w:sz w:val="24"/>
          <w:szCs w:val="24"/>
          <w:lang w:val="ro-RO"/>
        </w:rPr>
        <w:t>ani, Vaslui, Vrancea and to a lesser extent Prahova) where the decline in exports of goods continued in 2021.</w:t>
      </w:r>
      <w:r w:rsidRPr="00110BD7">
        <w:t xml:space="preserve"> </w:t>
      </w:r>
      <w:r w:rsidRPr="00110BD7">
        <w:rPr>
          <w:sz w:val="24"/>
          <w:szCs w:val="24"/>
          <w:lang w:val="ro-RO"/>
        </w:rPr>
        <w:t xml:space="preserve">The main cause is the decline in the </w:t>
      </w:r>
      <w:r w:rsidR="00673BC0" w:rsidRPr="00673BC0">
        <w:rPr>
          <w:i/>
          <w:sz w:val="24"/>
          <w:szCs w:val="24"/>
          <w:lang w:val="ro-RO"/>
        </w:rPr>
        <w:t>lohn market</w:t>
      </w:r>
      <w:r w:rsidRPr="00110BD7">
        <w:rPr>
          <w:sz w:val="24"/>
          <w:szCs w:val="24"/>
          <w:lang w:val="ro-RO"/>
        </w:rPr>
        <w:t xml:space="preserve"> (textile and footwear industry), which, in addition to the pandemic-induced transformations, has also been affected by the reduction in external demand for light industry products.</w:t>
      </w:r>
    </w:p>
    <w:p w:rsidR="00F92046" w:rsidRDefault="00F92046" w:rsidP="00066169">
      <w:pPr>
        <w:jc w:val="both"/>
        <w:rPr>
          <w:sz w:val="24"/>
          <w:szCs w:val="24"/>
          <w:lang w:val="ro-RO"/>
        </w:rPr>
      </w:pPr>
    </w:p>
    <w:p w:rsidR="00F92046" w:rsidRDefault="00834EFF" w:rsidP="00165734">
      <w:pPr>
        <w:spacing w:after="0" w:line="240" w:lineRule="auto"/>
        <w:jc w:val="center"/>
        <w:rPr>
          <w:b/>
          <w:bCs/>
          <w:sz w:val="24"/>
          <w:szCs w:val="24"/>
          <w:lang w:val="ro-RO"/>
        </w:rPr>
      </w:pPr>
      <w:r>
        <w:rPr>
          <w:b/>
          <w:bCs/>
          <w:sz w:val="24"/>
          <w:szCs w:val="24"/>
          <w:lang w:val="ro-RO"/>
        </w:rPr>
        <w:lastRenderedPageBreak/>
        <w:t>Table</w:t>
      </w:r>
      <w:r w:rsidR="00F92046">
        <w:rPr>
          <w:b/>
          <w:bCs/>
          <w:sz w:val="24"/>
          <w:szCs w:val="24"/>
          <w:lang w:val="ro-RO"/>
        </w:rPr>
        <w:t xml:space="preserve"> 1.</w:t>
      </w:r>
      <w:r w:rsidR="00192059" w:rsidRPr="00192059">
        <w:t xml:space="preserve"> </w:t>
      </w:r>
      <w:r w:rsidR="00192059" w:rsidRPr="00192059">
        <w:rPr>
          <w:b/>
          <w:bCs/>
          <w:sz w:val="24"/>
          <w:szCs w:val="24"/>
          <w:lang w:val="ro-RO"/>
        </w:rPr>
        <w:t>Export of goods</w:t>
      </w:r>
      <w:r w:rsidR="00192059">
        <w:rPr>
          <w:b/>
          <w:bCs/>
          <w:sz w:val="24"/>
          <w:szCs w:val="24"/>
          <w:lang w:val="ro-RO"/>
        </w:rPr>
        <w:t xml:space="preserve"> -</w:t>
      </w:r>
      <w:r w:rsidR="00192059" w:rsidRPr="00192059">
        <w:rPr>
          <w:b/>
          <w:bCs/>
          <w:sz w:val="24"/>
          <w:szCs w:val="24"/>
          <w:lang w:val="ro-RO"/>
        </w:rPr>
        <w:t xml:space="preserve"> FOB</w:t>
      </w:r>
    </w:p>
    <w:p w:rsidR="00F92046" w:rsidRDefault="00192059" w:rsidP="00165734">
      <w:pPr>
        <w:spacing w:after="0" w:line="240" w:lineRule="auto"/>
        <w:jc w:val="center"/>
        <w:rPr>
          <w:sz w:val="20"/>
          <w:szCs w:val="20"/>
          <w:lang w:val="ro-RO"/>
        </w:rPr>
      </w:pPr>
      <w:r w:rsidRPr="003126E1">
        <w:rPr>
          <w:sz w:val="20"/>
          <w:szCs w:val="20"/>
          <w:lang w:val="ro-RO"/>
        </w:rPr>
        <w:t xml:space="preserve"> </w:t>
      </w:r>
      <w:r w:rsidR="00834EFF">
        <w:rPr>
          <w:sz w:val="20"/>
          <w:szCs w:val="20"/>
          <w:lang w:val="ro-RO"/>
        </w:rPr>
        <w:t>(</w:t>
      </w:r>
      <w:r w:rsidRPr="00192059">
        <w:rPr>
          <w:sz w:val="20"/>
          <w:szCs w:val="20"/>
          <w:lang w:val="ro-RO"/>
        </w:rPr>
        <w:t>dynamics -% - calculated on the basis of values in Euro, current prices)</w:t>
      </w:r>
    </w:p>
    <w:tbl>
      <w:tblPr>
        <w:tblW w:w="7992" w:type="dxa"/>
        <w:jc w:val="center"/>
        <w:tblLook w:val="00A0"/>
      </w:tblPr>
      <w:tblGrid>
        <w:gridCol w:w="1640"/>
        <w:gridCol w:w="1113"/>
        <w:gridCol w:w="1113"/>
        <w:gridCol w:w="1900"/>
        <w:gridCol w:w="1113"/>
        <w:gridCol w:w="1113"/>
      </w:tblGrid>
      <w:tr w:rsidR="00F92046" w:rsidRPr="009E5026" w:rsidTr="00834EFF">
        <w:trPr>
          <w:trHeight w:val="300"/>
          <w:jc w:val="center"/>
        </w:trPr>
        <w:tc>
          <w:tcPr>
            <w:tcW w:w="1640" w:type="dxa"/>
            <w:tcBorders>
              <w:top w:val="single" w:sz="4" w:space="0" w:color="auto"/>
              <w:left w:val="single" w:sz="4" w:space="0" w:color="auto"/>
              <w:bottom w:val="single" w:sz="4" w:space="0" w:color="auto"/>
              <w:right w:val="single" w:sz="4" w:space="0" w:color="auto"/>
            </w:tcBorders>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 </w:t>
            </w:r>
          </w:p>
        </w:tc>
        <w:tc>
          <w:tcPr>
            <w:tcW w:w="1113" w:type="dxa"/>
            <w:tcBorders>
              <w:top w:val="single" w:sz="4" w:space="0" w:color="auto"/>
              <w:left w:val="nil"/>
              <w:bottom w:val="single" w:sz="4" w:space="0" w:color="auto"/>
              <w:right w:val="single" w:sz="4" w:space="0" w:color="auto"/>
            </w:tcBorders>
            <w:noWrap/>
            <w:vAlign w:val="bottom"/>
          </w:tcPr>
          <w:p w:rsidR="00F92046" w:rsidRPr="00722899" w:rsidRDefault="00F92046" w:rsidP="0022361A">
            <w:pPr>
              <w:spacing w:after="0" w:line="240" w:lineRule="auto"/>
              <w:rPr>
                <w:b/>
                <w:bCs/>
                <w:color w:val="000000"/>
                <w:sz w:val="20"/>
                <w:szCs w:val="20"/>
              </w:rPr>
            </w:pPr>
            <w:r w:rsidRPr="00722899">
              <w:rPr>
                <w:b/>
                <w:bCs/>
                <w:color w:val="000000"/>
                <w:sz w:val="20"/>
                <w:szCs w:val="20"/>
              </w:rPr>
              <w:t>2021/2020</w:t>
            </w:r>
          </w:p>
        </w:tc>
        <w:tc>
          <w:tcPr>
            <w:tcW w:w="1113" w:type="dxa"/>
            <w:tcBorders>
              <w:top w:val="single" w:sz="4" w:space="0" w:color="auto"/>
              <w:left w:val="nil"/>
              <w:bottom w:val="single" w:sz="4" w:space="0" w:color="auto"/>
              <w:right w:val="single" w:sz="4" w:space="0" w:color="auto"/>
            </w:tcBorders>
            <w:noWrap/>
            <w:vAlign w:val="bottom"/>
          </w:tcPr>
          <w:p w:rsidR="00F92046" w:rsidRPr="00722899" w:rsidRDefault="00F92046" w:rsidP="0022361A">
            <w:pPr>
              <w:spacing w:after="0" w:line="240" w:lineRule="auto"/>
              <w:rPr>
                <w:b/>
                <w:bCs/>
                <w:color w:val="000000"/>
                <w:sz w:val="20"/>
                <w:szCs w:val="20"/>
              </w:rPr>
            </w:pPr>
            <w:r w:rsidRPr="00722899">
              <w:rPr>
                <w:b/>
                <w:bCs/>
                <w:color w:val="000000"/>
                <w:sz w:val="20"/>
                <w:szCs w:val="20"/>
              </w:rPr>
              <w:t>2021/2019</w:t>
            </w:r>
          </w:p>
        </w:tc>
        <w:tc>
          <w:tcPr>
            <w:tcW w:w="1900" w:type="dxa"/>
            <w:tcBorders>
              <w:top w:val="single" w:sz="4" w:space="0" w:color="auto"/>
              <w:left w:val="nil"/>
              <w:bottom w:val="single" w:sz="4" w:space="0" w:color="auto"/>
              <w:right w:val="single" w:sz="4" w:space="0" w:color="auto"/>
            </w:tcBorders>
            <w:noWrap/>
            <w:vAlign w:val="bottom"/>
          </w:tcPr>
          <w:p w:rsidR="00F92046" w:rsidRPr="00722899" w:rsidRDefault="00F92046" w:rsidP="0022361A">
            <w:pPr>
              <w:spacing w:after="0" w:line="240" w:lineRule="auto"/>
              <w:rPr>
                <w:color w:val="000000"/>
              </w:rPr>
            </w:pPr>
            <w:r w:rsidRPr="00722899">
              <w:rPr>
                <w:color w:val="000000"/>
              </w:rPr>
              <w:t> </w:t>
            </w:r>
          </w:p>
        </w:tc>
        <w:tc>
          <w:tcPr>
            <w:tcW w:w="1113" w:type="dxa"/>
            <w:tcBorders>
              <w:top w:val="single" w:sz="4" w:space="0" w:color="auto"/>
              <w:left w:val="nil"/>
              <w:bottom w:val="single" w:sz="4" w:space="0" w:color="auto"/>
              <w:right w:val="single" w:sz="4" w:space="0" w:color="auto"/>
            </w:tcBorders>
            <w:noWrap/>
            <w:vAlign w:val="bottom"/>
          </w:tcPr>
          <w:p w:rsidR="00F92046" w:rsidRPr="00722899" w:rsidRDefault="00F92046" w:rsidP="0022361A">
            <w:pPr>
              <w:spacing w:after="0" w:line="240" w:lineRule="auto"/>
              <w:rPr>
                <w:b/>
                <w:bCs/>
                <w:color w:val="000000"/>
                <w:sz w:val="20"/>
                <w:szCs w:val="20"/>
              </w:rPr>
            </w:pPr>
            <w:r w:rsidRPr="00722899">
              <w:rPr>
                <w:b/>
                <w:bCs/>
                <w:color w:val="000000"/>
                <w:sz w:val="20"/>
                <w:szCs w:val="20"/>
              </w:rPr>
              <w:t>2021/2020</w:t>
            </w:r>
          </w:p>
        </w:tc>
        <w:tc>
          <w:tcPr>
            <w:tcW w:w="1113" w:type="dxa"/>
            <w:tcBorders>
              <w:top w:val="single" w:sz="4" w:space="0" w:color="auto"/>
              <w:left w:val="nil"/>
              <w:bottom w:val="single" w:sz="4" w:space="0" w:color="auto"/>
              <w:right w:val="single" w:sz="4" w:space="0" w:color="auto"/>
            </w:tcBorders>
            <w:noWrap/>
            <w:vAlign w:val="bottom"/>
          </w:tcPr>
          <w:p w:rsidR="00F92046" w:rsidRPr="00722899" w:rsidRDefault="00F92046" w:rsidP="0022361A">
            <w:pPr>
              <w:spacing w:after="0" w:line="240" w:lineRule="auto"/>
              <w:rPr>
                <w:b/>
                <w:bCs/>
                <w:color w:val="000000"/>
                <w:sz w:val="20"/>
                <w:szCs w:val="20"/>
              </w:rPr>
            </w:pPr>
            <w:r w:rsidRPr="00722899">
              <w:rPr>
                <w:b/>
                <w:bCs/>
                <w:color w:val="000000"/>
                <w:sz w:val="20"/>
                <w:szCs w:val="20"/>
              </w:rPr>
              <w:t>2021/2019</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b/>
                <w:bCs/>
                <w:color w:val="000000"/>
                <w:sz w:val="20"/>
                <w:szCs w:val="20"/>
              </w:rPr>
            </w:pPr>
            <w:r w:rsidRPr="00722899">
              <w:rPr>
                <w:b/>
                <w:bCs/>
                <w:color w:val="000000"/>
                <w:sz w:val="20"/>
                <w:szCs w:val="20"/>
              </w:rPr>
              <w:t>TOTAL</w:t>
            </w:r>
          </w:p>
        </w:tc>
        <w:tc>
          <w:tcPr>
            <w:tcW w:w="1113" w:type="dxa"/>
            <w:tcBorders>
              <w:top w:val="nil"/>
              <w:left w:val="nil"/>
              <w:bottom w:val="single" w:sz="4" w:space="0" w:color="auto"/>
              <w:right w:val="single" w:sz="4" w:space="0" w:color="auto"/>
            </w:tcBorders>
            <w:shd w:val="clear" w:color="000000" w:fill="FEEB84"/>
            <w:noWrap/>
            <w:vAlign w:val="bottom"/>
          </w:tcPr>
          <w:p w:rsidR="00F92046" w:rsidRPr="00722899" w:rsidRDefault="00F92046" w:rsidP="0022361A">
            <w:pPr>
              <w:spacing w:after="0" w:line="240" w:lineRule="auto"/>
              <w:jc w:val="center"/>
              <w:rPr>
                <w:b/>
                <w:bCs/>
                <w:color w:val="000000"/>
                <w:sz w:val="20"/>
                <w:szCs w:val="20"/>
              </w:rPr>
            </w:pPr>
            <w:r w:rsidRPr="00722899">
              <w:rPr>
                <w:b/>
                <w:bCs/>
                <w:color w:val="000000"/>
                <w:sz w:val="20"/>
                <w:szCs w:val="20"/>
              </w:rPr>
              <w:t>24</w:t>
            </w:r>
            <w:r w:rsidR="00E904A8">
              <w:rPr>
                <w:b/>
                <w:bCs/>
                <w:color w:val="000000"/>
                <w:sz w:val="20"/>
                <w:szCs w:val="20"/>
              </w:rPr>
              <w:t>.</w:t>
            </w:r>
            <w:r w:rsidRPr="00722899">
              <w:rPr>
                <w:b/>
                <w:bCs/>
                <w:color w:val="000000"/>
                <w:sz w:val="20"/>
                <w:szCs w:val="20"/>
              </w:rPr>
              <w:t>4</w:t>
            </w:r>
          </w:p>
        </w:tc>
        <w:tc>
          <w:tcPr>
            <w:tcW w:w="1113" w:type="dxa"/>
            <w:tcBorders>
              <w:top w:val="nil"/>
              <w:left w:val="nil"/>
              <w:bottom w:val="single" w:sz="4" w:space="0" w:color="auto"/>
              <w:right w:val="single" w:sz="4" w:space="0" w:color="auto"/>
            </w:tcBorders>
            <w:shd w:val="clear" w:color="000000" w:fill="F7E984"/>
            <w:noWrap/>
            <w:vAlign w:val="bottom"/>
          </w:tcPr>
          <w:p w:rsidR="00F92046" w:rsidRPr="00722899" w:rsidRDefault="00F92046" w:rsidP="0022361A">
            <w:pPr>
              <w:spacing w:after="0" w:line="240" w:lineRule="auto"/>
              <w:jc w:val="center"/>
              <w:rPr>
                <w:b/>
                <w:bCs/>
                <w:color w:val="000000"/>
                <w:sz w:val="20"/>
                <w:szCs w:val="20"/>
              </w:rPr>
            </w:pPr>
            <w:r w:rsidRPr="00722899">
              <w:rPr>
                <w:b/>
                <w:bCs/>
                <w:color w:val="000000"/>
                <w:sz w:val="20"/>
                <w:szCs w:val="20"/>
              </w:rPr>
              <w:t>5</w:t>
            </w:r>
            <w:r w:rsidR="00E904A8">
              <w:rPr>
                <w:b/>
                <w:bCs/>
                <w:color w:val="000000"/>
                <w:sz w:val="20"/>
                <w:szCs w:val="20"/>
              </w:rPr>
              <w:t>.</w:t>
            </w:r>
            <w:r w:rsidRPr="00722899">
              <w:rPr>
                <w:b/>
                <w:bCs/>
                <w:color w:val="000000"/>
                <w:sz w:val="20"/>
                <w:szCs w:val="20"/>
              </w:rPr>
              <w:t>3</w:t>
            </w:r>
          </w:p>
        </w:tc>
        <w:tc>
          <w:tcPr>
            <w:tcW w:w="1900" w:type="dxa"/>
            <w:tcBorders>
              <w:top w:val="nil"/>
              <w:left w:val="nil"/>
              <w:bottom w:val="single" w:sz="4" w:space="0" w:color="auto"/>
              <w:right w:val="single" w:sz="4" w:space="0" w:color="auto"/>
            </w:tcBorders>
            <w:noWrap/>
            <w:vAlign w:val="bottom"/>
          </w:tcPr>
          <w:p w:rsidR="00F92046" w:rsidRPr="00722899" w:rsidRDefault="00F92046" w:rsidP="0022361A">
            <w:pPr>
              <w:spacing w:after="0" w:line="240" w:lineRule="auto"/>
              <w:rPr>
                <w:color w:val="000000"/>
              </w:rPr>
            </w:pPr>
            <w:r w:rsidRPr="00722899">
              <w:rPr>
                <w:color w:val="000000"/>
              </w:rPr>
              <w:t> </w:t>
            </w:r>
          </w:p>
        </w:tc>
        <w:tc>
          <w:tcPr>
            <w:tcW w:w="1113" w:type="dxa"/>
            <w:tcBorders>
              <w:top w:val="nil"/>
              <w:left w:val="nil"/>
              <w:bottom w:val="single" w:sz="4" w:space="0" w:color="auto"/>
              <w:right w:val="single" w:sz="4" w:space="0" w:color="auto"/>
            </w:tcBorders>
            <w:noWrap/>
            <w:vAlign w:val="bottom"/>
          </w:tcPr>
          <w:p w:rsidR="00F92046" w:rsidRPr="00722899" w:rsidRDefault="00F92046" w:rsidP="0022361A">
            <w:pPr>
              <w:spacing w:after="0" w:line="240" w:lineRule="auto"/>
              <w:rPr>
                <w:color w:val="000000"/>
              </w:rPr>
            </w:pPr>
            <w:r w:rsidRPr="00722899">
              <w:rPr>
                <w:color w:val="000000"/>
              </w:rPr>
              <w:t> </w:t>
            </w:r>
          </w:p>
        </w:tc>
        <w:tc>
          <w:tcPr>
            <w:tcW w:w="1113" w:type="dxa"/>
            <w:tcBorders>
              <w:top w:val="nil"/>
              <w:left w:val="nil"/>
              <w:bottom w:val="single" w:sz="4" w:space="0" w:color="auto"/>
              <w:right w:val="single" w:sz="4" w:space="0" w:color="auto"/>
            </w:tcBorders>
            <w:noWrap/>
            <w:vAlign w:val="bottom"/>
          </w:tcPr>
          <w:p w:rsidR="00F92046" w:rsidRPr="00722899" w:rsidRDefault="00F92046" w:rsidP="0022361A">
            <w:pPr>
              <w:spacing w:after="0" w:line="240" w:lineRule="auto"/>
              <w:rPr>
                <w:color w:val="000000"/>
              </w:rPr>
            </w:pPr>
            <w:r w:rsidRPr="00722899">
              <w:rPr>
                <w:color w:val="000000"/>
              </w:rPr>
              <w:t> </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Alba</w:t>
            </w:r>
          </w:p>
        </w:tc>
        <w:tc>
          <w:tcPr>
            <w:tcW w:w="1113" w:type="dxa"/>
            <w:tcBorders>
              <w:top w:val="nil"/>
              <w:left w:val="nil"/>
              <w:bottom w:val="single" w:sz="4" w:space="0" w:color="auto"/>
              <w:right w:val="single" w:sz="4" w:space="0" w:color="auto"/>
            </w:tcBorders>
            <w:shd w:val="clear" w:color="000000" w:fill="FDD37F"/>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17</w:t>
            </w:r>
            <w:r w:rsidR="00E904A8">
              <w:rPr>
                <w:color w:val="000000"/>
                <w:sz w:val="20"/>
                <w:szCs w:val="20"/>
              </w:rPr>
              <w:t>.</w:t>
            </w:r>
            <w:r w:rsidRPr="00722899">
              <w:rPr>
                <w:color w:val="000000"/>
                <w:sz w:val="20"/>
                <w:szCs w:val="20"/>
              </w:rPr>
              <w:t>8</w:t>
            </w:r>
          </w:p>
        </w:tc>
        <w:tc>
          <w:tcPr>
            <w:tcW w:w="1113" w:type="dxa"/>
            <w:tcBorders>
              <w:top w:val="nil"/>
              <w:left w:val="nil"/>
              <w:bottom w:val="single" w:sz="4" w:space="0" w:color="auto"/>
              <w:right w:val="single" w:sz="4" w:space="0" w:color="auto"/>
            </w:tcBorders>
            <w:shd w:val="clear" w:color="000000" w:fill="FEE482"/>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0</w:t>
            </w:r>
            <w:r w:rsidR="00E904A8">
              <w:rPr>
                <w:color w:val="000000"/>
                <w:sz w:val="20"/>
                <w:szCs w:val="20"/>
              </w:rPr>
              <w:t>.</w:t>
            </w:r>
            <w:r w:rsidRPr="00722899">
              <w:rPr>
                <w:color w:val="000000"/>
                <w:sz w:val="20"/>
                <w:szCs w:val="20"/>
              </w:rPr>
              <w:t>4</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Hunedoara</w:t>
            </w:r>
          </w:p>
        </w:tc>
        <w:tc>
          <w:tcPr>
            <w:tcW w:w="1113" w:type="dxa"/>
            <w:tcBorders>
              <w:top w:val="nil"/>
              <w:left w:val="nil"/>
              <w:bottom w:val="single" w:sz="4" w:space="0" w:color="auto"/>
              <w:right w:val="single" w:sz="4" w:space="0" w:color="auto"/>
            </w:tcBorders>
            <w:shd w:val="clear" w:color="000000" w:fill="F6E98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26</w:t>
            </w:r>
            <w:r w:rsidR="00E904A8">
              <w:rPr>
                <w:color w:val="000000"/>
                <w:sz w:val="20"/>
                <w:szCs w:val="20"/>
              </w:rPr>
              <w:t>.</w:t>
            </w:r>
            <w:r w:rsidRPr="00722899">
              <w:rPr>
                <w:color w:val="000000"/>
                <w:sz w:val="20"/>
                <w:szCs w:val="20"/>
              </w:rPr>
              <w:t>8</w:t>
            </w:r>
          </w:p>
        </w:tc>
        <w:tc>
          <w:tcPr>
            <w:tcW w:w="1113" w:type="dxa"/>
            <w:tcBorders>
              <w:top w:val="nil"/>
              <w:left w:val="nil"/>
              <w:bottom w:val="single" w:sz="4" w:space="0" w:color="auto"/>
              <w:right w:val="single" w:sz="4" w:space="0" w:color="auto"/>
            </w:tcBorders>
            <w:shd w:val="clear" w:color="000000" w:fill="DFE2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13</w:t>
            </w:r>
            <w:r w:rsidR="00E904A8">
              <w:rPr>
                <w:color w:val="000000"/>
                <w:sz w:val="20"/>
                <w:szCs w:val="20"/>
              </w:rPr>
              <w:t>.</w:t>
            </w:r>
            <w:r w:rsidRPr="00722899">
              <w:rPr>
                <w:color w:val="000000"/>
                <w:sz w:val="20"/>
                <w:szCs w:val="20"/>
              </w:rPr>
              <w:t>4</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Arad</w:t>
            </w:r>
          </w:p>
        </w:tc>
        <w:tc>
          <w:tcPr>
            <w:tcW w:w="1113" w:type="dxa"/>
            <w:tcBorders>
              <w:top w:val="nil"/>
              <w:left w:val="nil"/>
              <w:bottom w:val="single" w:sz="4" w:space="0" w:color="auto"/>
              <w:right w:val="single" w:sz="4" w:space="0" w:color="auto"/>
            </w:tcBorders>
            <w:shd w:val="clear" w:color="000000" w:fill="FEE6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22</w:t>
            </w:r>
            <w:r w:rsidR="00E904A8">
              <w:rPr>
                <w:color w:val="000000"/>
                <w:sz w:val="20"/>
                <w:szCs w:val="20"/>
              </w:rPr>
              <w:t>.</w:t>
            </w:r>
            <w:r w:rsidRPr="00722899">
              <w:rPr>
                <w:color w:val="000000"/>
                <w:sz w:val="20"/>
                <w:szCs w:val="20"/>
              </w:rPr>
              <w:t>8</w:t>
            </w:r>
          </w:p>
        </w:tc>
        <w:tc>
          <w:tcPr>
            <w:tcW w:w="1113" w:type="dxa"/>
            <w:tcBorders>
              <w:top w:val="nil"/>
              <w:left w:val="nil"/>
              <w:bottom w:val="single" w:sz="4" w:space="0" w:color="auto"/>
              <w:right w:val="single" w:sz="4" w:space="0" w:color="auto"/>
            </w:tcBorders>
            <w:shd w:val="clear" w:color="000000" w:fill="FCB579"/>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-12</w:t>
            </w:r>
            <w:r w:rsidR="00E904A8">
              <w:rPr>
                <w:color w:val="000000"/>
                <w:sz w:val="20"/>
                <w:szCs w:val="20"/>
              </w:rPr>
              <w:t>.</w:t>
            </w:r>
            <w:r w:rsidRPr="00722899">
              <w:rPr>
                <w:color w:val="000000"/>
                <w:sz w:val="20"/>
                <w:szCs w:val="20"/>
              </w:rPr>
              <w:t>9</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Ialomiţa</w:t>
            </w:r>
          </w:p>
        </w:tc>
        <w:tc>
          <w:tcPr>
            <w:tcW w:w="1113" w:type="dxa"/>
            <w:tcBorders>
              <w:top w:val="nil"/>
              <w:left w:val="nil"/>
              <w:bottom w:val="single" w:sz="4" w:space="0" w:color="auto"/>
              <w:right w:val="single" w:sz="4" w:space="0" w:color="auto"/>
            </w:tcBorders>
            <w:shd w:val="clear" w:color="000000" w:fill="D3DF82"/>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36</w:t>
            </w:r>
            <w:r w:rsidR="00E904A8">
              <w:rPr>
                <w:color w:val="000000"/>
                <w:sz w:val="20"/>
                <w:szCs w:val="20"/>
              </w:rPr>
              <w:t>.</w:t>
            </w:r>
            <w:r w:rsidRPr="00722899">
              <w:rPr>
                <w:color w:val="000000"/>
                <w:sz w:val="20"/>
                <w:szCs w:val="20"/>
              </w:rPr>
              <w:t>5</w:t>
            </w:r>
          </w:p>
        </w:tc>
        <w:tc>
          <w:tcPr>
            <w:tcW w:w="1113" w:type="dxa"/>
            <w:tcBorders>
              <w:top w:val="nil"/>
              <w:left w:val="nil"/>
              <w:bottom w:val="single" w:sz="4" w:space="0" w:color="auto"/>
              <w:right w:val="single" w:sz="4" w:space="0" w:color="auto"/>
            </w:tcBorders>
            <w:shd w:val="clear" w:color="000000" w:fill="E9E5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9</w:t>
            </w:r>
            <w:r w:rsidR="00E904A8">
              <w:rPr>
                <w:color w:val="000000"/>
                <w:sz w:val="20"/>
                <w:szCs w:val="20"/>
              </w:rPr>
              <w:t>.</w:t>
            </w:r>
            <w:r w:rsidRPr="00722899">
              <w:rPr>
                <w:color w:val="000000"/>
                <w:sz w:val="20"/>
                <w:szCs w:val="20"/>
              </w:rPr>
              <w:t>8</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Argeş</w:t>
            </w:r>
          </w:p>
        </w:tc>
        <w:tc>
          <w:tcPr>
            <w:tcW w:w="1113" w:type="dxa"/>
            <w:tcBorders>
              <w:top w:val="nil"/>
              <w:left w:val="nil"/>
              <w:bottom w:val="single" w:sz="4" w:space="0" w:color="auto"/>
              <w:right w:val="single" w:sz="4" w:space="0" w:color="auto"/>
            </w:tcBorders>
            <w:shd w:val="clear" w:color="000000" w:fill="D2DE82"/>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36</w:t>
            </w:r>
            <w:r w:rsidR="00E904A8">
              <w:rPr>
                <w:color w:val="000000"/>
                <w:sz w:val="20"/>
                <w:szCs w:val="20"/>
              </w:rPr>
              <w:t>.</w:t>
            </w:r>
            <w:r w:rsidRPr="00722899">
              <w:rPr>
                <w:color w:val="000000"/>
                <w:sz w:val="20"/>
                <w:szCs w:val="20"/>
              </w:rPr>
              <w:t>7</w:t>
            </w:r>
          </w:p>
        </w:tc>
        <w:tc>
          <w:tcPr>
            <w:tcW w:w="1113" w:type="dxa"/>
            <w:tcBorders>
              <w:top w:val="nil"/>
              <w:left w:val="nil"/>
              <w:bottom w:val="single" w:sz="4" w:space="0" w:color="auto"/>
              <w:right w:val="single" w:sz="4" w:space="0" w:color="auto"/>
            </w:tcBorders>
            <w:shd w:val="clear" w:color="000000" w:fill="FCBA7A"/>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-11</w:t>
            </w:r>
            <w:r w:rsidR="00E904A8">
              <w:rPr>
                <w:color w:val="000000"/>
                <w:sz w:val="20"/>
                <w:szCs w:val="20"/>
              </w:rPr>
              <w:t>.</w:t>
            </w:r>
            <w:r w:rsidRPr="00722899">
              <w:rPr>
                <w:color w:val="000000"/>
                <w:sz w:val="20"/>
                <w:szCs w:val="20"/>
              </w:rPr>
              <w:t>5</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Iaşi</w:t>
            </w:r>
          </w:p>
        </w:tc>
        <w:tc>
          <w:tcPr>
            <w:tcW w:w="1113" w:type="dxa"/>
            <w:tcBorders>
              <w:top w:val="nil"/>
              <w:left w:val="nil"/>
              <w:bottom w:val="single" w:sz="4" w:space="0" w:color="auto"/>
              <w:right w:val="single" w:sz="4" w:space="0" w:color="auto"/>
            </w:tcBorders>
            <w:shd w:val="clear" w:color="000000" w:fill="E7E4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30</w:t>
            </w:r>
            <w:r w:rsidR="00E904A8">
              <w:rPr>
                <w:color w:val="000000"/>
                <w:sz w:val="20"/>
                <w:szCs w:val="20"/>
              </w:rPr>
              <w:t>.</w:t>
            </w:r>
            <w:r w:rsidRPr="00722899">
              <w:rPr>
                <w:color w:val="000000"/>
                <w:sz w:val="20"/>
                <w:szCs w:val="20"/>
              </w:rPr>
              <w:t>9</w:t>
            </w:r>
          </w:p>
        </w:tc>
        <w:tc>
          <w:tcPr>
            <w:tcW w:w="1113" w:type="dxa"/>
            <w:tcBorders>
              <w:top w:val="nil"/>
              <w:left w:val="nil"/>
              <w:bottom w:val="single" w:sz="4" w:space="0" w:color="auto"/>
              <w:right w:val="single" w:sz="4" w:space="0" w:color="auto"/>
            </w:tcBorders>
            <w:shd w:val="clear" w:color="000000" w:fill="FDD67F"/>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w:t>
            </w:r>
            <w:r w:rsidR="00E904A8">
              <w:rPr>
                <w:color w:val="000000"/>
                <w:sz w:val="20"/>
                <w:szCs w:val="20"/>
              </w:rPr>
              <w:t>.</w:t>
            </w:r>
            <w:r w:rsidRPr="00722899">
              <w:rPr>
                <w:color w:val="000000"/>
                <w:sz w:val="20"/>
                <w:szCs w:val="20"/>
              </w:rPr>
              <w:t>6</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Bacău</w:t>
            </w:r>
          </w:p>
        </w:tc>
        <w:tc>
          <w:tcPr>
            <w:tcW w:w="1113" w:type="dxa"/>
            <w:tcBorders>
              <w:top w:val="nil"/>
              <w:left w:val="nil"/>
              <w:bottom w:val="single" w:sz="4" w:space="0" w:color="auto"/>
              <w:right w:val="single" w:sz="4" w:space="0" w:color="auto"/>
            </w:tcBorders>
            <w:shd w:val="clear" w:color="000000" w:fill="B9D780"/>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43</w:t>
            </w:r>
            <w:r w:rsidR="00E904A8">
              <w:rPr>
                <w:color w:val="000000"/>
                <w:sz w:val="20"/>
                <w:szCs w:val="20"/>
              </w:rPr>
              <w:t>.</w:t>
            </w:r>
            <w:r w:rsidRPr="00722899">
              <w:rPr>
                <w:color w:val="000000"/>
                <w:sz w:val="20"/>
                <w:szCs w:val="20"/>
              </w:rPr>
              <w:t>7</w:t>
            </w:r>
          </w:p>
        </w:tc>
        <w:tc>
          <w:tcPr>
            <w:tcW w:w="1113" w:type="dxa"/>
            <w:tcBorders>
              <w:top w:val="nil"/>
              <w:left w:val="nil"/>
              <w:bottom w:val="single" w:sz="4" w:space="0" w:color="auto"/>
              <w:right w:val="single" w:sz="4" w:space="0" w:color="auto"/>
            </w:tcBorders>
            <w:shd w:val="clear" w:color="000000" w:fill="BFD981"/>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24</w:t>
            </w:r>
            <w:r w:rsidR="00E904A8">
              <w:rPr>
                <w:color w:val="000000"/>
                <w:sz w:val="20"/>
                <w:szCs w:val="20"/>
              </w:rPr>
              <w:t>.</w:t>
            </w:r>
            <w:r w:rsidRPr="00722899">
              <w:rPr>
                <w:color w:val="000000"/>
                <w:sz w:val="20"/>
                <w:szCs w:val="20"/>
              </w:rPr>
              <w:t>2</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Ilfov</w:t>
            </w:r>
          </w:p>
        </w:tc>
        <w:tc>
          <w:tcPr>
            <w:tcW w:w="1113" w:type="dxa"/>
            <w:tcBorders>
              <w:top w:val="nil"/>
              <w:left w:val="nil"/>
              <w:bottom w:val="single" w:sz="4" w:space="0" w:color="auto"/>
              <w:right w:val="single" w:sz="4" w:space="0" w:color="auto"/>
            </w:tcBorders>
            <w:shd w:val="clear" w:color="000000" w:fill="F6E98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26</w:t>
            </w:r>
            <w:r w:rsidR="00E904A8">
              <w:rPr>
                <w:color w:val="000000"/>
                <w:sz w:val="20"/>
                <w:szCs w:val="20"/>
              </w:rPr>
              <w:t>.</w:t>
            </w:r>
            <w:r w:rsidRPr="00722899">
              <w:rPr>
                <w:color w:val="000000"/>
                <w:sz w:val="20"/>
                <w:szCs w:val="20"/>
              </w:rPr>
              <w:t>7</w:t>
            </w:r>
          </w:p>
        </w:tc>
        <w:tc>
          <w:tcPr>
            <w:tcW w:w="1113" w:type="dxa"/>
            <w:tcBorders>
              <w:top w:val="nil"/>
              <w:left w:val="nil"/>
              <w:bottom w:val="single" w:sz="4" w:space="0" w:color="auto"/>
              <w:right w:val="single" w:sz="4" w:space="0" w:color="auto"/>
            </w:tcBorders>
            <w:shd w:val="clear" w:color="000000" w:fill="CADC81"/>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20</w:t>
            </w:r>
            <w:r w:rsidR="00E904A8">
              <w:rPr>
                <w:color w:val="000000"/>
                <w:sz w:val="20"/>
                <w:szCs w:val="20"/>
              </w:rPr>
              <w:t>.</w:t>
            </w:r>
            <w:r w:rsidRPr="00722899">
              <w:rPr>
                <w:color w:val="000000"/>
                <w:sz w:val="20"/>
                <w:szCs w:val="20"/>
              </w:rPr>
              <w:t>4</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Bihor</w:t>
            </w:r>
          </w:p>
        </w:tc>
        <w:tc>
          <w:tcPr>
            <w:tcW w:w="1113" w:type="dxa"/>
            <w:tcBorders>
              <w:top w:val="nil"/>
              <w:left w:val="nil"/>
              <w:bottom w:val="single" w:sz="4" w:space="0" w:color="auto"/>
              <w:right w:val="single" w:sz="4" w:space="0" w:color="auto"/>
            </w:tcBorders>
            <w:shd w:val="clear" w:color="000000" w:fill="FEE6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22</w:t>
            </w:r>
            <w:r w:rsidR="00E904A8">
              <w:rPr>
                <w:color w:val="000000"/>
                <w:sz w:val="20"/>
                <w:szCs w:val="20"/>
              </w:rPr>
              <w:t>.</w:t>
            </w:r>
            <w:r w:rsidRPr="00722899">
              <w:rPr>
                <w:color w:val="000000"/>
                <w:sz w:val="20"/>
                <w:szCs w:val="20"/>
              </w:rPr>
              <w:t>7</w:t>
            </w:r>
          </w:p>
        </w:tc>
        <w:tc>
          <w:tcPr>
            <w:tcW w:w="1113" w:type="dxa"/>
            <w:tcBorders>
              <w:top w:val="nil"/>
              <w:left w:val="nil"/>
              <w:bottom w:val="single" w:sz="4" w:space="0" w:color="auto"/>
              <w:right w:val="single" w:sz="4" w:space="0" w:color="auto"/>
            </w:tcBorders>
            <w:shd w:val="clear" w:color="000000" w:fill="D2DE82"/>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17</w:t>
            </w:r>
            <w:r w:rsidR="00E904A8">
              <w:rPr>
                <w:color w:val="000000"/>
                <w:sz w:val="20"/>
                <w:szCs w:val="20"/>
              </w:rPr>
              <w:t>.</w:t>
            </w:r>
            <w:r w:rsidRPr="00722899">
              <w:rPr>
                <w:color w:val="000000"/>
                <w:sz w:val="20"/>
                <w:szCs w:val="20"/>
              </w:rPr>
              <w:t>7</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Maramureş</w:t>
            </w:r>
          </w:p>
        </w:tc>
        <w:tc>
          <w:tcPr>
            <w:tcW w:w="1113" w:type="dxa"/>
            <w:tcBorders>
              <w:top w:val="nil"/>
              <w:left w:val="nil"/>
              <w:bottom w:val="single" w:sz="4" w:space="0" w:color="auto"/>
              <w:right w:val="single" w:sz="4" w:space="0" w:color="auto"/>
            </w:tcBorders>
            <w:shd w:val="clear" w:color="000000" w:fill="FDCE7E"/>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16</w:t>
            </w:r>
            <w:r w:rsidR="00E904A8">
              <w:rPr>
                <w:color w:val="000000"/>
                <w:sz w:val="20"/>
                <w:szCs w:val="20"/>
              </w:rPr>
              <w:t>.</w:t>
            </w:r>
            <w:r w:rsidRPr="00722899">
              <w:rPr>
                <w:color w:val="000000"/>
                <w:sz w:val="20"/>
                <w:szCs w:val="20"/>
              </w:rPr>
              <w:t>6</w:t>
            </w:r>
          </w:p>
        </w:tc>
        <w:tc>
          <w:tcPr>
            <w:tcW w:w="1113" w:type="dxa"/>
            <w:tcBorders>
              <w:top w:val="nil"/>
              <w:left w:val="nil"/>
              <w:bottom w:val="single" w:sz="4" w:space="0" w:color="auto"/>
              <w:right w:val="single" w:sz="4" w:space="0" w:color="auto"/>
            </w:tcBorders>
            <w:shd w:val="clear" w:color="000000" w:fill="FEEB8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w:t>
            </w:r>
            <w:r w:rsidR="00E904A8">
              <w:rPr>
                <w:color w:val="000000"/>
                <w:sz w:val="20"/>
                <w:szCs w:val="20"/>
              </w:rPr>
              <w:t>.</w:t>
            </w:r>
            <w:r w:rsidRPr="00722899">
              <w:rPr>
                <w:color w:val="000000"/>
                <w:sz w:val="20"/>
                <w:szCs w:val="20"/>
              </w:rPr>
              <w:t>7</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Bistriţa-Năsăud</w:t>
            </w:r>
          </w:p>
        </w:tc>
        <w:tc>
          <w:tcPr>
            <w:tcW w:w="1113" w:type="dxa"/>
            <w:tcBorders>
              <w:top w:val="nil"/>
              <w:left w:val="nil"/>
              <w:bottom w:val="single" w:sz="4" w:space="0" w:color="auto"/>
              <w:right w:val="single" w:sz="4" w:space="0" w:color="auto"/>
            </w:tcBorders>
            <w:shd w:val="clear" w:color="000000" w:fill="F2E88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27</w:t>
            </w:r>
            <w:r w:rsidR="00E904A8">
              <w:rPr>
                <w:color w:val="000000"/>
                <w:sz w:val="20"/>
                <w:szCs w:val="20"/>
              </w:rPr>
              <w:t>.</w:t>
            </w:r>
            <w:r w:rsidRPr="00722899">
              <w:rPr>
                <w:color w:val="000000"/>
                <w:sz w:val="20"/>
                <w:szCs w:val="20"/>
              </w:rPr>
              <w:t>7</w:t>
            </w:r>
          </w:p>
        </w:tc>
        <w:tc>
          <w:tcPr>
            <w:tcW w:w="1113" w:type="dxa"/>
            <w:tcBorders>
              <w:top w:val="nil"/>
              <w:left w:val="nil"/>
              <w:bottom w:val="single" w:sz="4" w:space="0" w:color="auto"/>
              <w:right w:val="single" w:sz="4" w:space="0" w:color="auto"/>
            </w:tcBorders>
            <w:shd w:val="clear" w:color="000000" w:fill="FDCA7D"/>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-6</w:t>
            </w:r>
            <w:r w:rsidR="00E904A8">
              <w:rPr>
                <w:color w:val="000000"/>
                <w:sz w:val="20"/>
                <w:szCs w:val="20"/>
              </w:rPr>
              <w:t>.</w:t>
            </w:r>
            <w:r w:rsidRPr="00722899">
              <w:rPr>
                <w:color w:val="000000"/>
                <w:sz w:val="20"/>
                <w:szCs w:val="20"/>
              </w:rPr>
              <w:t>9</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Mehedinţi</w:t>
            </w:r>
          </w:p>
        </w:tc>
        <w:tc>
          <w:tcPr>
            <w:tcW w:w="1113" w:type="dxa"/>
            <w:tcBorders>
              <w:top w:val="nil"/>
              <w:left w:val="nil"/>
              <w:bottom w:val="single" w:sz="4" w:space="0" w:color="auto"/>
              <w:right w:val="single" w:sz="4" w:space="0" w:color="auto"/>
            </w:tcBorders>
            <w:shd w:val="clear" w:color="000000" w:fill="BBD881"/>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43</w:t>
            </w:r>
            <w:r w:rsidR="00E904A8">
              <w:rPr>
                <w:color w:val="000000"/>
                <w:sz w:val="20"/>
                <w:szCs w:val="20"/>
              </w:rPr>
              <w:t>.</w:t>
            </w:r>
            <w:r w:rsidRPr="00722899">
              <w:rPr>
                <w:color w:val="000000"/>
                <w:sz w:val="20"/>
                <w:szCs w:val="20"/>
              </w:rPr>
              <w:t>3</w:t>
            </w:r>
          </w:p>
        </w:tc>
        <w:tc>
          <w:tcPr>
            <w:tcW w:w="1113" w:type="dxa"/>
            <w:tcBorders>
              <w:top w:val="nil"/>
              <w:left w:val="nil"/>
              <w:bottom w:val="single" w:sz="4" w:space="0" w:color="auto"/>
              <w:right w:val="single" w:sz="4" w:space="0" w:color="auto"/>
            </w:tcBorders>
            <w:shd w:val="clear" w:color="000000" w:fill="B7D780"/>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26</w:t>
            </w:r>
            <w:r w:rsidR="00E904A8">
              <w:rPr>
                <w:color w:val="000000"/>
                <w:sz w:val="20"/>
                <w:szCs w:val="20"/>
              </w:rPr>
              <w:t>.</w:t>
            </w:r>
            <w:r w:rsidRPr="00722899">
              <w:rPr>
                <w:color w:val="000000"/>
                <w:sz w:val="20"/>
                <w:szCs w:val="20"/>
              </w:rPr>
              <w:t>9</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Botoşani</w:t>
            </w:r>
          </w:p>
        </w:tc>
        <w:tc>
          <w:tcPr>
            <w:tcW w:w="1113" w:type="dxa"/>
            <w:tcBorders>
              <w:top w:val="nil"/>
              <w:left w:val="nil"/>
              <w:bottom w:val="single" w:sz="4" w:space="0" w:color="auto"/>
              <w:right w:val="single" w:sz="4" w:space="0" w:color="auto"/>
            </w:tcBorders>
            <w:shd w:val="clear" w:color="000000" w:fill="F8696B"/>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-10</w:t>
            </w:r>
          </w:p>
        </w:tc>
        <w:tc>
          <w:tcPr>
            <w:tcW w:w="1113" w:type="dxa"/>
            <w:tcBorders>
              <w:top w:val="nil"/>
              <w:left w:val="nil"/>
              <w:bottom w:val="single" w:sz="4" w:space="0" w:color="auto"/>
              <w:right w:val="single" w:sz="4" w:space="0" w:color="auto"/>
            </w:tcBorders>
            <w:shd w:val="clear" w:color="000000" w:fill="F8696B"/>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-34</w:t>
            </w:r>
            <w:r w:rsidR="00E904A8">
              <w:rPr>
                <w:color w:val="000000"/>
                <w:sz w:val="20"/>
                <w:szCs w:val="20"/>
              </w:rPr>
              <w:t>.</w:t>
            </w:r>
            <w:r w:rsidRPr="00722899">
              <w:rPr>
                <w:color w:val="000000"/>
                <w:sz w:val="20"/>
                <w:szCs w:val="20"/>
              </w:rPr>
              <w:t>5</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Mureş</w:t>
            </w:r>
          </w:p>
        </w:tc>
        <w:tc>
          <w:tcPr>
            <w:tcW w:w="1113" w:type="dxa"/>
            <w:tcBorders>
              <w:top w:val="nil"/>
              <w:left w:val="nil"/>
              <w:bottom w:val="single" w:sz="4" w:space="0" w:color="auto"/>
              <w:right w:val="single" w:sz="4" w:space="0" w:color="auto"/>
            </w:tcBorders>
            <w:shd w:val="clear" w:color="000000" w:fill="E6E4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31</w:t>
            </w:r>
            <w:r w:rsidR="00E904A8">
              <w:rPr>
                <w:color w:val="000000"/>
                <w:sz w:val="20"/>
                <w:szCs w:val="20"/>
              </w:rPr>
              <w:t>.</w:t>
            </w:r>
            <w:r w:rsidRPr="00722899">
              <w:rPr>
                <w:color w:val="000000"/>
                <w:sz w:val="20"/>
                <w:szCs w:val="20"/>
              </w:rPr>
              <w:t>2</w:t>
            </w:r>
          </w:p>
        </w:tc>
        <w:tc>
          <w:tcPr>
            <w:tcW w:w="1113" w:type="dxa"/>
            <w:tcBorders>
              <w:top w:val="nil"/>
              <w:left w:val="nil"/>
              <w:bottom w:val="single" w:sz="4" w:space="0" w:color="auto"/>
              <w:right w:val="single" w:sz="4" w:space="0" w:color="auto"/>
            </w:tcBorders>
            <w:shd w:val="clear" w:color="000000" w:fill="7DC67D"/>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46</w:t>
            </w:r>
            <w:r w:rsidR="00E904A8">
              <w:rPr>
                <w:color w:val="000000"/>
                <w:sz w:val="20"/>
                <w:szCs w:val="20"/>
              </w:rPr>
              <w:t>.</w:t>
            </w:r>
            <w:r w:rsidRPr="00722899">
              <w:rPr>
                <w:color w:val="000000"/>
                <w:sz w:val="20"/>
                <w:szCs w:val="20"/>
              </w:rPr>
              <w:t>3</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Braşov</w:t>
            </w:r>
          </w:p>
        </w:tc>
        <w:tc>
          <w:tcPr>
            <w:tcW w:w="1113" w:type="dxa"/>
            <w:tcBorders>
              <w:top w:val="nil"/>
              <w:left w:val="nil"/>
              <w:bottom w:val="single" w:sz="4" w:space="0" w:color="auto"/>
              <w:right w:val="single" w:sz="4" w:space="0" w:color="auto"/>
            </w:tcBorders>
            <w:shd w:val="clear" w:color="000000" w:fill="FEDF81"/>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21</w:t>
            </w:r>
          </w:p>
        </w:tc>
        <w:tc>
          <w:tcPr>
            <w:tcW w:w="1113" w:type="dxa"/>
            <w:tcBorders>
              <w:top w:val="nil"/>
              <w:left w:val="nil"/>
              <w:bottom w:val="single" w:sz="4" w:space="0" w:color="auto"/>
              <w:right w:val="single" w:sz="4" w:space="0" w:color="auto"/>
            </w:tcBorders>
            <w:shd w:val="clear" w:color="000000" w:fill="FEEA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w:t>
            </w:r>
            <w:r w:rsidR="00E904A8">
              <w:rPr>
                <w:color w:val="000000"/>
                <w:sz w:val="20"/>
                <w:szCs w:val="20"/>
              </w:rPr>
              <w:t>.</w:t>
            </w:r>
            <w:r w:rsidRPr="00722899">
              <w:rPr>
                <w:color w:val="000000"/>
                <w:sz w:val="20"/>
                <w:szCs w:val="20"/>
              </w:rPr>
              <w:t>1</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Neamţ</w:t>
            </w:r>
          </w:p>
        </w:tc>
        <w:tc>
          <w:tcPr>
            <w:tcW w:w="1113" w:type="dxa"/>
            <w:tcBorders>
              <w:top w:val="nil"/>
              <w:left w:val="nil"/>
              <w:bottom w:val="single" w:sz="4" w:space="0" w:color="auto"/>
              <w:right w:val="single" w:sz="4" w:space="0" w:color="auto"/>
            </w:tcBorders>
            <w:shd w:val="clear" w:color="000000" w:fill="DFE2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33</w:t>
            </w:r>
            <w:r w:rsidR="00E904A8">
              <w:rPr>
                <w:color w:val="000000"/>
                <w:sz w:val="20"/>
                <w:szCs w:val="20"/>
              </w:rPr>
              <w:t>.</w:t>
            </w:r>
            <w:r w:rsidRPr="00722899">
              <w:rPr>
                <w:color w:val="000000"/>
                <w:sz w:val="20"/>
                <w:szCs w:val="20"/>
              </w:rPr>
              <w:t>2</w:t>
            </w:r>
          </w:p>
        </w:tc>
        <w:tc>
          <w:tcPr>
            <w:tcW w:w="1113" w:type="dxa"/>
            <w:tcBorders>
              <w:top w:val="nil"/>
              <w:left w:val="nil"/>
              <w:bottom w:val="single" w:sz="4" w:space="0" w:color="auto"/>
              <w:right w:val="single" w:sz="4" w:space="0" w:color="auto"/>
            </w:tcBorders>
            <w:shd w:val="clear" w:color="000000" w:fill="F8E98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4</w:t>
            </w:r>
            <w:r w:rsidR="00E904A8">
              <w:rPr>
                <w:color w:val="000000"/>
                <w:sz w:val="20"/>
                <w:szCs w:val="20"/>
              </w:rPr>
              <w:t>.</w:t>
            </w:r>
            <w:r w:rsidRPr="00722899">
              <w:rPr>
                <w:color w:val="000000"/>
                <w:sz w:val="20"/>
                <w:szCs w:val="20"/>
              </w:rPr>
              <w:t>8</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Brăila</w:t>
            </w:r>
          </w:p>
        </w:tc>
        <w:tc>
          <w:tcPr>
            <w:tcW w:w="1113" w:type="dxa"/>
            <w:tcBorders>
              <w:top w:val="nil"/>
              <w:left w:val="nil"/>
              <w:bottom w:val="single" w:sz="4" w:space="0" w:color="auto"/>
              <w:right w:val="single" w:sz="4" w:space="0" w:color="auto"/>
            </w:tcBorders>
            <w:shd w:val="clear" w:color="000000" w:fill="93CC7E"/>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54</w:t>
            </w:r>
            <w:r w:rsidR="00E904A8">
              <w:rPr>
                <w:color w:val="000000"/>
                <w:sz w:val="20"/>
                <w:szCs w:val="20"/>
              </w:rPr>
              <w:t>.</w:t>
            </w:r>
            <w:r w:rsidRPr="00722899">
              <w:rPr>
                <w:color w:val="000000"/>
                <w:sz w:val="20"/>
                <w:szCs w:val="20"/>
              </w:rPr>
              <w:t>6</w:t>
            </w:r>
          </w:p>
        </w:tc>
        <w:tc>
          <w:tcPr>
            <w:tcW w:w="1113" w:type="dxa"/>
            <w:tcBorders>
              <w:top w:val="nil"/>
              <w:left w:val="nil"/>
              <w:bottom w:val="single" w:sz="4" w:space="0" w:color="auto"/>
              <w:right w:val="single" w:sz="4" w:space="0" w:color="auto"/>
            </w:tcBorders>
            <w:shd w:val="clear" w:color="000000" w:fill="D2DE82"/>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17</w:t>
            </w:r>
            <w:r w:rsidR="00E904A8">
              <w:rPr>
                <w:color w:val="000000"/>
                <w:sz w:val="20"/>
                <w:szCs w:val="20"/>
              </w:rPr>
              <w:t>.</w:t>
            </w:r>
            <w:r w:rsidRPr="00722899">
              <w:rPr>
                <w:color w:val="000000"/>
                <w:sz w:val="20"/>
                <w:szCs w:val="20"/>
              </w:rPr>
              <w:t>7</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Olt</w:t>
            </w:r>
          </w:p>
        </w:tc>
        <w:tc>
          <w:tcPr>
            <w:tcW w:w="1113" w:type="dxa"/>
            <w:tcBorders>
              <w:top w:val="nil"/>
              <w:left w:val="nil"/>
              <w:bottom w:val="single" w:sz="4" w:space="0" w:color="auto"/>
              <w:right w:val="single" w:sz="4" w:space="0" w:color="auto"/>
            </w:tcBorders>
            <w:shd w:val="clear" w:color="000000" w:fill="FFEB8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24</w:t>
            </w:r>
          </w:p>
        </w:tc>
        <w:tc>
          <w:tcPr>
            <w:tcW w:w="1113" w:type="dxa"/>
            <w:tcBorders>
              <w:top w:val="nil"/>
              <w:left w:val="nil"/>
              <w:bottom w:val="single" w:sz="4" w:space="0" w:color="auto"/>
              <w:right w:val="single" w:sz="4" w:space="0" w:color="auto"/>
            </w:tcBorders>
            <w:shd w:val="clear" w:color="000000" w:fill="FEDE81"/>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w:t>
            </w:r>
            <w:r w:rsidR="00E904A8">
              <w:rPr>
                <w:color w:val="000000"/>
                <w:sz w:val="20"/>
                <w:szCs w:val="20"/>
              </w:rPr>
              <w:t>.</w:t>
            </w:r>
            <w:r w:rsidRPr="00722899">
              <w:rPr>
                <w:color w:val="000000"/>
                <w:sz w:val="20"/>
                <w:szCs w:val="20"/>
              </w:rPr>
              <w:t>2</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Buzău</w:t>
            </w:r>
          </w:p>
        </w:tc>
        <w:tc>
          <w:tcPr>
            <w:tcW w:w="1113" w:type="dxa"/>
            <w:tcBorders>
              <w:top w:val="nil"/>
              <w:left w:val="nil"/>
              <w:bottom w:val="single" w:sz="4" w:space="0" w:color="auto"/>
              <w:right w:val="single" w:sz="4" w:space="0" w:color="auto"/>
            </w:tcBorders>
            <w:shd w:val="clear" w:color="000000" w:fill="E6E4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31</w:t>
            </w:r>
            <w:r w:rsidR="00E904A8">
              <w:rPr>
                <w:color w:val="000000"/>
                <w:sz w:val="20"/>
                <w:szCs w:val="20"/>
              </w:rPr>
              <w:t>.</w:t>
            </w:r>
            <w:r w:rsidRPr="00722899">
              <w:rPr>
                <w:color w:val="000000"/>
                <w:sz w:val="20"/>
                <w:szCs w:val="20"/>
              </w:rPr>
              <w:t>1</w:t>
            </w:r>
          </w:p>
        </w:tc>
        <w:tc>
          <w:tcPr>
            <w:tcW w:w="1113" w:type="dxa"/>
            <w:tcBorders>
              <w:top w:val="nil"/>
              <w:left w:val="nil"/>
              <w:bottom w:val="single" w:sz="4" w:space="0" w:color="auto"/>
              <w:right w:val="single" w:sz="4" w:space="0" w:color="auto"/>
            </w:tcBorders>
            <w:shd w:val="clear" w:color="000000" w:fill="EEE78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8</w:t>
            </w:r>
            <w:r w:rsidR="00E904A8">
              <w:rPr>
                <w:color w:val="000000"/>
                <w:sz w:val="20"/>
                <w:szCs w:val="20"/>
              </w:rPr>
              <w:t>.</w:t>
            </w:r>
            <w:r w:rsidRPr="00722899">
              <w:rPr>
                <w:color w:val="000000"/>
                <w:sz w:val="20"/>
                <w:szCs w:val="20"/>
              </w:rPr>
              <w:t>1</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Prahova</w:t>
            </w:r>
          </w:p>
        </w:tc>
        <w:tc>
          <w:tcPr>
            <w:tcW w:w="1113" w:type="dxa"/>
            <w:tcBorders>
              <w:top w:val="nil"/>
              <w:left w:val="nil"/>
              <w:bottom w:val="single" w:sz="4" w:space="0" w:color="auto"/>
              <w:right w:val="single" w:sz="4" w:space="0" w:color="auto"/>
            </w:tcBorders>
            <w:shd w:val="clear" w:color="000000" w:fill="F98B71"/>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-0</w:t>
            </w:r>
            <w:r w:rsidR="00E904A8">
              <w:rPr>
                <w:color w:val="000000"/>
                <w:sz w:val="20"/>
                <w:szCs w:val="20"/>
              </w:rPr>
              <w:t>.</w:t>
            </w:r>
            <w:r w:rsidRPr="00722899">
              <w:rPr>
                <w:color w:val="000000"/>
                <w:sz w:val="20"/>
                <w:szCs w:val="20"/>
              </w:rPr>
              <w:t>9</w:t>
            </w:r>
          </w:p>
        </w:tc>
        <w:tc>
          <w:tcPr>
            <w:tcW w:w="1113" w:type="dxa"/>
            <w:tcBorders>
              <w:top w:val="nil"/>
              <w:left w:val="nil"/>
              <w:bottom w:val="single" w:sz="4" w:space="0" w:color="auto"/>
              <w:right w:val="single" w:sz="4" w:space="0" w:color="auto"/>
            </w:tcBorders>
            <w:shd w:val="clear" w:color="000000" w:fill="FEE182"/>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-0</w:t>
            </w:r>
            <w:r w:rsidR="00E904A8">
              <w:rPr>
                <w:color w:val="000000"/>
                <w:sz w:val="20"/>
                <w:szCs w:val="20"/>
              </w:rPr>
              <w:t>.</w:t>
            </w:r>
            <w:r w:rsidRPr="00722899">
              <w:rPr>
                <w:color w:val="000000"/>
                <w:sz w:val="20"/>
                <w:szCs w:val="20"/>
              </w:rPr>
              <w:t>2</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Caraş-Severin</w:t>
            </w:r>
          </w:p>
        </w:tc>
        <w:tc>
          <w:tcPr>
            <w:tcW w:w="1113" w:type="dxa"/>
            <w:tcBorders>
              <w:top w:val="nil"/>
              <w:left w:val="nil"/>
              <w:bottom w:val="single" w:sz="4" w:space="0" w:color="auto"/>
              <w:right w:val="single" w:sz="4" w:space="0" w:color="auto"/>
            </w:tcBorders>
            <w:shd w:val="clear" w:color="000000" w:fill="FA987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w:t>
            </w:r>
            <w:r w:rsidR="00E904A8">
              <w:rPr>
                <w:color w:val="000000"/>
                <w:sz w:val="20"/>
                <w:szCs w:val="20"/>
              </w:rPr>
              <w:t>.</w:t>
            </w:r>
            <w:r w:rsidRPr="00722899">
              <w:rPr>
                <w:color w:val="000000"/>
                <w:sz w:val="20"/>
                <w:szCs w:val="20"/>
              </w:rPr>
              <w:t>3</w:t>
            </w:r>
          </w:p>
        </w:tc>
        <w:tc>
          <w:tcPr>
            <w:tcW w:w="1113" w:type="dxa"/>
            <w:tcBorders>
              <w:top w:val="nil"/>
              <w:left w:val="nil"/>
              <w:bottom w:val="single" w:sz="4" w:space="0" w:color="auto"/>
              <w:right w:val="single" w:sz="4" w:space="0" w:color="auto"/>
            </w:tcBorders>
            <w:shd w:val="clear" w:color="000000" w:fill="FA9A7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-20</w:t>
            </w:r>
            <w:r w:rsidR="00E904A8">
              <w:rPr>
                <w:color w:val="000000"/>
                <w:sz w:val="20"/>
                <w:szCs w:val="20"/>
              </w:rPr>
              <w:t>.</w:t>
            </w:r>
            <w:r w:rsidRPr="00722899">
              <w:rPr>
                <w:color w:val="000000"/>
                <w:sz w:val="20"/>
                <w:szCs w:val="20"/>
              </w:rPr>
              <w:t>5</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Satu Mare</w:t>
            </w:r>
          </w:p>
        </w:tc>
        <w:tc>
          <w:tcPr>
            <w:tcW w:w="1113" w:type="dxa"/>
            <w:tcBorders>
              <w:top w:val="nil"/>
              <w:left w:val="nil"/>
              <w:bottom w:val="single" w:sz="4" w:space="0" w:color="auto"/>
              <w:right w:val="single" w:sz="4" w:space="0" w:color="auto"/>
            </w:tcBorders>
            <w:shd w:val="clear" w:color="000000" w:fill="EFE78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28</w:t>
            </w:r>
            <w:r w:rsidR="00E904A8">
              <w:rPr>
                <w:color w:val="000000"/>
                <w:sz w:val="20"/>
                <w:szCs w:val="20"/>
              </w:rPr>
              <w:t>.</w:t>
            </w:r>
            <w:r w:rsidRPr="00722899">
              <w:rPr>
                <w:color w:val="000000"/>
                <w:sz w:val="20"/>
                <w:szCs w:val="20"/>
              </w:rPr>
              <w:t>6</w:t>
            </w:r>
          </w:p>
        </w:tc>
        <w:tc>
          <w:tcPr>
            <w:tcW w:w="1113" w:type="dxa"/>
            <w:tcBorders>
              <w:top w:val="nil"/>
              <w:left w:val="nil"/>
              <w:bottom w:val="single" w:sz="4" w:space="0" w:color="auto"/>
              <w:right w:val="single" w:sz="4" w:space="0" w:color="auto"/>
            </w:tcBorders>
            <w:shd w:val="clear" w:color="000000" w:fill="E1E3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12</w:t>
            </w:r>
            <w:r w:rsidR="00E904A8">
              <w:rPr>
                <w:color w:val="000000"/>
                <w:sz w:val="20"/>
                <w:szCs w:val="20"/>
              </w:rPr>
              <w:t>.</w:t>
            </w:r>
            <w:r w:rsidRPr="00722899">
              <w:rPr>
                <w:color w:val="000000"/>
                <w:sz w:val="20"/>
                <w:szCs w:val="20"/>
              </w:rPr>
              <w:t>6</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Călăraşi</w:t>
            </w:r>
          </w:p>
        </w:tc>
        <w:tc>
          <w:tcPr>
            <w:tcW w:w="1113" w:type="dxa"/>
            <w:tcBorders>
              <w:top w:val="nil"/>
              <w:left w:val="nil"/>
              <w:bottom w:val="single" w:sz="4" w:space="0" w:color="auto"/>
              <w:right w:val="single" w:sz="4" w:space="0" w:color="auto"/>
            </w:tcBorders>
            <w:shd w:val="clear" w:color="000000" w:fill="C6DB81"/>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40</w:t>
            </w:r>
            <w:r w:rsidR="00E904A8">
              <w:rPr>
                <w:color w:val="000000"/>
                <w:sz w:val="20"/>
                <w:szCs w:val="20"/>
              </w:rPr>
              <w:t>.</w:t>
            </w:r>
            <w:r w:rsidRPr="00722899">
              <w:rPr>
                <w:color w:val="000000"/>
                <w:sz w:val="20"/>
                <w:szCs w:val="20"/>
              </w:rPr>
              <w:t>1</w:t>
            </w:r>
          </w:p>
        </w:tc>
        <w:tc>
          <w:tcPr>
            <w:tcW w:w="1113" w:type="dxa"/>
            <w:tcBorders>
              <w:top w:val="nil"/>
              <w:left w:val="nil"/>
              <w:bottom w:val="single" w:sz="4" w:space="0" w:color="auto"/>
              <w:right w:val="single" w:sz="4" w:space="0" w:color="auto"/>
            </w:tcBorders>
            <w:shd w:val="clear" w:color="000000" w:fill="D3DF82"/>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17</w:t>
            </w:r>
            <w:r w:rsidR="00E904A8">
              <w:rPr>
                <w:color w:val="000000"/>
                <w:sz w:val="20"/>
                <w:szCs w:val="20"/>
              </w:rPr>
              <w:t>.</w:t>
            </w:r>
            <w:r w:rsidRPr="00722899">
              <w:rPr>
                <w:color w:val="000000"/>
                <w:sz w:val="20"/>
                <w:szCs w:val="20"/>
              </w:rPr>
              <w:t>3</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Sălaj</w:t>
            </w:r>
          </w:p>
        </w:tc>
        <w:tc>
          <w:tcPr>
            <w:tcW w:w="1113" w:type="dxa"/>
            <w:tcBorders>
              <w:top w:val="nil"/>
              <w:left w:val="nil"/>
              <w:bottom w:val="single" w:sz="4" w:space="0" w:color="auto"/>
              <w:right w:val="single" w:sz="4" w:space="0" w:color="auto"/>
            </w:tcBorders>
            <w:shd w:val="clear" w:color="000000" w:fill="FEE7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23</w:t>
            </w:r>
            <w:r w:rsidR="00E904A8">
              <w:rPr>
                <w:color w:val="000000"/>
                <w:sz w:val="20"/>
                <w:szCs w:val="20"/>
              </w:rPr>
              <w:t>.</w:t>
            </w:r>
            <w:r w:rsidRPr="00722899">
              <w:rPr>
                <w:color w:val="000000"/>
                <w:sz w:val="20"/>
                <w:szCs w:val="20"/>
              </w:rPr>
              <w:t>2</w:t>
            </w:r>
          </w:p>
        </w:tc>
        <w:tc>
          <w:tcPr>
            <w:tcW w:w="1113" w:type="dxa"/>
            <w:tcBorders>
              <w:top w:val="nil"/>
              <w:left w:val="nil"/>
              <w:bottom w:val="single" w:sz="4" w:space="0" w:color="auto"/>
              <w:right w:val="single" w:sz="4" w:space="0" w:color="auto"/>
            </w:tcBorders>
            <w:shd w:val="clear" w:color="000000" w:fill="FFEB8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w:t>
            </w:r>
            <w:r w:rsidR="00E904A8">
              <w:rPr>
                <w:color w:val="000000"/>
                <w:sz w:val="20"/>
                <w:szCs w:val="20"/>
              </w:rPr>
              <w:t>.</w:t>
            </w:r>
            <w:r w:rsidRPr="00722899">
              <w:rPr>
                <w:color w:val="000000"/>
                <w:sz w:val="20"/>
                <w:szCs w:val="20"/>
              </w:rPr>
              <w:t>3</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Cluj</w:t>
            </w:r>
          </w:p>
        </w:tc>
        <w:tc>
          <w:tcPr>
            <w:tcW w:w="1113" w:type="dxa"/>
            <w:tcBorders>
              <w:top w:val="nil"/>
              <w:left w:val="nil"/>
              <w:bottom w:val="single" w:sz="4" w:space="0" w:color="auto"/>
              <w:right w:val="single" w:sz="4" w:space="0" w:color="auto"/>
            </w:tcBorders>
            <w:shd w:val="clear" w:color="000000" w:fill="E4E4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31</w:t>
            </w:r>
            <w:r w:rsidR="00E904A8">
              <w:rPr>
                <w:color w:val="000000"/>
                <w:sz w:val="20"/>
                <w:szCs w:val="20"/>
              </w:rPr>
              <w:t>.</w:t>
            </w:r>
            <w:r w:rsidRPr="00722899">
              <w:rPr>
                <w:color w:val="000000"/>
                <w:sz w:val="20"/>
                <w:szCs w:val="20"/>
              </w:rPr>
              <w:t>7</w:t>
            </w:r>
          </w:p>
        </w:tc>
        <w:tc>
          <w:tcPr>
            <w:tcW w:w="1113" w:type="dxa"/>
            <w:tcBorders>
              <w:top w:val="nil"/>
              <w:left w:val="nil"/>
              <w:bottom w:val="single" w:sz="4" w:space="0" w:color="auto"/>
              <w:right w:val="single" w:sz="4" w:space="0" w:color="auto"/>
            </w:tcBorders>
            <w:shd w:val="clear" w:color="000000" w:fill="CFDD82"/>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18</w:t>
            </w:r>
            <w:r w:rsidR="00E904A8">
              <w:rPr>
                <w:color w:val="000000"/>
                <w:sz w:val="20"/>
                <w:szCs w:val="20"/>
              </w:rPr>
              <w:t>.</w:t>
            </w:r>
            <w:r w:rsidRPr="00722899">
              <w:rPr>
                <w:color w:val="000000"/>
                <w:sz w:val="20"/>
                <w:szCs w:val="20"/>
              </w:rPr>
              <w:t>8</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Sibiu</w:t>
            </w:r>
          </w:p>
        </w:tc>
        <w:tc>
          <w:tcPr>
            <w:tcW w:w="1113" w:type="dxa"/>
            <w:tcBorders>
              <w:top w:val="nil"/>
              <w:left w:val="nil"/>
              <w:bottom w:val="single" w:sz="4" w:space="0" w:color="auto"/>
              <w:right w:val="single" w:sz="4" w:space="0" w:color="auto"/>
            </w:tcBorders>
            <w:shd w:val="clear" w:color="000000" w:fill="FCB77A"/>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10</w:t>
            </w:r>
            <w:r w:rsidR="00E904A8">
              <w:rPr>
                <w:color w:val="000000"/>
                <w:sz w:val="20"/>
                <w:szCs w:val="20"/>
              </w:rPr>
              <w:t>.</w:t>
            </w:r>
            <w:r w:rsidRPr="00722899">
              <w:rPr>
                <w:color w:val="000000"/>
                <w:sz w:val="20"/>
                <w:szCs w:val="20"/>
              </w:rPr>
              <w:t>4</w:t>
            </w:r>
          </w:p>
        </w:tc>
        <w:tc>
          <w:tcPr>
            <w:tcW w:w="1113" w:type="dxa"/>
            <w:tcBorders>
              <w:top w:val="nil"/>
              <w:left w:val="nil"/>
              <w:bottom w:val="single" w:sz="4" w:space="0" w:color="auto"/>
              <w:right w:val="single" w:sz="4" w:space="0" w:color="auto"/>
            </w:tcBorders>
            <w:shd w:val="clear" w:color="000000" w:fill="FCBF7B"/>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-10</w:t>
            </w:r>
            <w:r w:rsidR="00E904A8">
              <w:rPr>
                <w:color w:val="000000"/>
                <w:sz w:val="20"/>
                <w:szCs w:val="20"/>
              </w:rPr>
              <w:t>.</w:t>
            </w:r>
            <w:r w:rsidRPr="00722899">
              <w:rPr>
                <w:color w:val="000000"/>
                <w:sz w:val="20"/>
                <w:szCs w:val="20"/>
              </w:rPr>
              <w:t>1</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Constanţa</w:t>
            </w:r>
          </w:p>
        </w:tc>
        <w:tc>
          <w:tcPr>
            <w:tcW w:w="1113" w:type="dxa"/>
            <w:tcBorders>
              <w:top w:val="nil"/>
              <w:left w:val="nil"/>
              <w:bottom w:val="single" w:sz="4" w:space="0" w:color="auto"/>
              <w:right w:val="single" w:sz="4" w:space="0" w:color="auto"/>
            </w:tcBorders>
            <w:shd w:val="clear" w:color="000000" w:fill="FEDF81"/>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21</w:t>
            </w:r>
          </w:p>
        </w:tc>
        <w:tc>
          <w:tcPr>
            <w:tcW w:w="1113" w:type="dxa"/>
            <w:tcBorders>
              <w:top w:val="nil"/>
              <w:left w:val="nil"/>
              <w:bottom w:val="single" w:sz="4" w:space="0" w:color="auto"/>
              <w:right w:val="single" w:sz="4" w:space="0" w:color="auto"/>
            </w:tcBorders>
            <w:shd w:val="clear" w:color="000000" w:fill="FA967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-21</w:t>
            </w:r>
            <w:r w:rsidR="00E904A8">
              <w:rPr>
                <w:color w:val="000000"/>
                <w:sz w:val="20"/>
                <w:szCs w:val="20"/>
              </w:rPr>
              <w:t>.</w:t>
            </w:r>
            <w:r w:rsidRPr="00722899">
              <w:rPr>
                <w:color w:val="000000"/>
                <w:sz w:val="20"/>
                <w:szCs w:val="20"/>
              </w:rPr>
              <w:t>6</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Suceava</w:t>
            </w:r>
          </w:p>
        </w:tc>
        <w:tc>
          <w:tcPr>
            <w:tcW w:w="1113" w:type="dxa"/>
            <w:tcBorders>
              <w:top w:val="nil"/>
              <w:left w:val="nil"/>
              <w:bottom w:val="single" w:sz="4" w:space="0" w:color="auto"/>
              <w:right w:val="single" w:sz="4" w:space="0" w:color="auto"/>
            </w:tcBorders>
            <w:shd w:val="clear" w:color="000000" w:fill="EFE78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28</w:t>
            </w:r>
            <w:r w:rsidR="00E904A8">
              <w:rPr>
                <w:color w:val="000000"/>
                <w:sz w:val="20"/>
                <w:szCs w:val="20"/>
              </w:rPr>
              <w:t>.</w:t>
            </w:r>
            <w:r w:rsidRPr="00722899">
              <w:rPr>
                <w:color w:val="000000"/>
                <w:sz w:val="20"/>
                <w:szCs w:val="20"/>
              </w:rPr>
              <w:t>7</w:t>
            </w:r>
          </w:p>
        </w:tc>
        <w:tc>
          <w:tcPr>
            <w:tcW w:w="1113" w:type="dxa"/>
            <w:tcBorders>
              <w:top w:val="nil"/>
              <w:left w:val="nil"/>
              <w:bottom w:val="single" w:sz="4" w:space="0" w:color="auto"/>
              <w:right w:val="single" w:sz="4" w:space="0" w:color="auto"/>
            </w:tcBorders>
            <w:shd w:val="clear" w:color="000000" w:fill="EEE6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8</w:t>
            </w:r>
            <w:r w:rsidR="00E904A8">
              <w:rPr>
                <w:color w:val="000000"/>
                <w:sz w:val="20"/>
                <w:szCs w:val="20"/>
              </w:rPr>
              <w:t>.</w:t>
            </w:r>
            <w:r w:rsidRPr="00722899">
              <w:rPr>
                <w:color w:val="000000"/>
                <w:sz w:val="20"/>
                <w:szCs w:val="20"/>
              </w:rPr>
              <w:t>3</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Covasna</w:t>
            </w:r>
          </w:p>
        </w:tc>
        <w:tc>
          <w:tcPr>
            <w:tcW w:w="1113" w:type="dxa"/>
            <w:tcBorders>
              <w:top w:val="nil"/>
              <w:left w:val="nil"/>
              <w:bottom w:val="single" w:sz="4" w:space="0" w:color="auto"/>
              <w:right w:val="single" w:sz="4" w:space="0" w:color="auto"/>
            </w:tcBorders>
            <w:shd w:val="clear" w:color="000000" w:fill="FA9C7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w:t>
            </w:r>
            <w:r w:rsidR="00E904A8">
              <w:rPr>
                <w:color w:val="000000"/>
                <w:sz w:val="20"/>
                <w:szCs w:val="20"/>
              </w:rPr>
              <w:t>.</w:t>
            </w:r>
            <w:r w:rsidRPr="00722899">
              <w:rPr>
                <w:color w:val="000000"/>
                <w:sz w:val="20"/>
                <w:szCs w:val="20"/>
              </w:rPr>
              <w:t>5</w:t>
            </w:r>
          </w:p>
        </w:tc>
        <w:tc>
          <w:tcPr>
            <w:tcW w:w="1113" w:type="dxa"/>
            <w:tcBorders>
              <w:top w:val="nil"/>
              <w:left w:val="nil"/>
              <w:bottom w:val="single" w:sz="4" w:space="0" w:color="auto"/>
              <w:right w:val="single" w:sz="4" w:space="0" w:color="auto"/>
            </w:tcBorders>
            <w:shd w:val="clear" w:color="000000" w:fill="FBB078"/>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-14</w:t>
            </w:r>
            <w:r w:rsidR="00E904A8">
              <w:rPr>
                <w:color w:val="000000"/>
                <w:sz w:val="20"/>
                <w:szCs w:val="20"/>
              </w:rPr>
              <w:t>.</w:t>
            </w:r>
            <w:r w:rsidRPr="00722899">
              <w:rPr>
                <w:color w:val="000000"/>
                <w:sz w:val="20"/>
                <w:szCs w:val="20"/>
              </w:rPr>
              <w:t>3</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Teleorman</w:t>
            </w:r>
          </w:p>
        </w:tc>
        <w:tc>
          <w:tcPr>
            <w:tcW w:w="1113" w:type="dxa"/>
            <w:tcBorders>
              <w:top w:val="nil"/>
              <w:left w:val="nil"/>
              <w:bottom w:val="single" w:sz="4" w:space="0" w:color="auto"/>
              <w:right w:val="single" w:sz="4" w:space="0" w:color="auto"/>
            </w:tcBorders>
            <w:shd w:val="clear" w:color="000000" w:fill="F9EA84"/>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25</w:t>
            </w:r>
            <w:r w:rsidR="00E904A8">
              <w:rPr>
                <w:color w:val="000000"/>
                <w:sz w:val="20"/>
                <w:szCs w:val="20"/>
              </w:rPr>
              <w:t>.</w:t>
            </w:r>
            <w:r w:rsidRPr="00722899">
              <w:rPr>
                <w:color w:val="000000"/>
                <w:sz w:val="20"/>
                <w:szCs w:val="20"/>
              </w:rPr>
              <w:t>9</w:t>
            </w:r>
          </w:p>
        </w:tc>
        <w:tc>
          <w:tcPr>
            <w:tcW w:w="1113" w:type="dxa"/>
            <w:tcBorders>
              <w:top w:val="nil"/>
              <w:left w:val="nil"/>
              <w:bottom w:val="single" w:sz="4" w:space="0" w:color="auto"/>
              <w:right w:val="single" w:sz="4" w:space="0" w:color="auto"/>
            </w:tcBorders>
            <w:shd w:val="clear" w:color="000000" w:fill="FEDB81"/>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w:t>
            </w:r>
            <w:r w:rsidR="00E904A8">
              <w:rPr>
                <w:color w:val="000000"/>
                <w:sz w:val="20"/>
                <w:szCs w:val="20"/>
              </w:rPr>
              <w:t>.</w:t>
            </w:r>
            <w:r w:rsidRPr="00722899">
              <w:rPr>
                <w:color w:val="000000"/>
                <w:sz w:val="20"/>
                <w:szCs w:val="20"/>
              </w:rPr>
              <w:t>1</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Pr>
                <w:color w:val="000000"/>
                <w:sz w:val="20"/>
                <w:szCs w:val="20"/>
              </w:rPr>
              <w:t>Dâmbovi</w:t>
            </w:r>
            <w:r w:rsidRPr="00722899">
              <w:rPr>
                <w:color w:val="000000"/>
                <w:sz w:val="20"/>
                <w:szCs w:val="20"/>
              </w:rPr>
              <w:t>ţa</w:t>
            </w:r>
          </w:p>
        </w:tc>
        <w:tc>
          <w:tcPr>
            <w:tcW w:w="1113" w:type="dxa"/>
            <w:tcBorders>
              <w:top w:val="nil"/>
              <w:left w:val="nil"/>
              <w:bottom w:val="single" w:sz="4" w:space="0" w:color="auto"/>
              <w:right w:val="single" w:sz="4" w:space="0" w:color="auto"/>
            </w:tcBorders>
            <w:shd w:val="clear" w:color="000000" w:fill="65BF7C"/>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67</w:t>
            </w:r>
            <w:r w:rsidR="00E904A8">
              <w:rPr>
                <w:color w:val="000000"/>
                <w:sz w:val="20"/>
                <w:szCs w:val="20"/>
              </w:rPr>
              <w:t>.</w:t>
            </w:r>
            <w:r w:rsidRPr="00722899">
              <w:rPr>
                <w:color w:val="000000"/>
                <w:sz w:val="20"/>
                <w:szCs w:val="20"/>
              </w:rPr>
              <w:t>3</w:t>
            </w:r>
          </w:p>
        </w:tc>
        <w:tc>
          <w:tcPr>
            <w:tcW w:w="1113" w:type="dxa"/>
            <w:tcBorders>
              <w:top w:val="nil"/>
              <w:left w:val="nil"/>
              <w:bottom w:val="single" w:sz="4" w:space="0" w:color="auto"/>
              <w:right w:val="single" w:sz="4" w:space="0" w:color="auto"/>
            </w:tcBorders>
            <w:shd w:val="clear" w:color="000000" w:fill="74C37C"/>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49</w:t>
            </w:r>
            <w:r w:rsidR="00E904A8">
              <w:rPr>
                <w:color w:val="000000"/>
                <w:sz w:val="20"/>
                <w:szCs w:val="20"/>
              </w:rPr>
              <w:t>.</w:t>
            </w:r>
            <w:r w:rsidRPr="00722899">
              <w:rPr>
                <w:color w:val="000000"/>
                <w:sz w:val="20"/>
                <w:szCs w:val="20"/>
              </w:rPr>
              <w:t>4</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Timiş</w:t>
            </w:r>
          </w:p>
        </w:tc>
        <w:tc>
          <w:tcPr>
            <w:tcW w:w="1113" w:type="dxa"/>
            <w:tcBorders>
              <w:top w:val="nil"/>
              <w:left w:val="nil"/>
              <w:bottom w:val="single" w:sz="4" w:space="0" w:color="auto"/>
              <w:right w:val="single" w:sz="4" w:space="0" w:color="auto"/>
            </w:tcBorders>
            <w:shd w:val="clear" w:color="000000" w:fill="FDD37F"/>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17</w:t>
            </w:r>
            <w:r w:rsidR="00E904A8">
              <w:rPr>
                <w:color w:val="000000"/>
                <w:sz w:val="20"/>
                <w:szCs w:val="20"/>
              </w:rPr>
              <w:t>.</w:t>
            </w:r>
            <w:r w:rsidRPr="00722899">
              <w:rPr>
                <w:color w:val="000000"/>
                <w:sz w:val="20"/>
                <w:szCs w:val="20"/>
              </w:rPr>
              <w:t>8</w:t>
            </w:r>
          </w:p>
        </w:tc>
        <w:tc>
          <w:tcPr>
            <w:tcW w:w="1113" w:type="dxa"/>
            <w:tcBorders>
              <w:top w:val="nil"/>
              <w:left w:val="nil"/>
              <w:bottom w:val="single" w:sz="4" w:space="0" w:color="auto"/>
              <w:right w:val="single" w:sz="4" w:space="0" w:color="auto"/>
            </w:tcBorders>
            <w:shd w:val="clear" w:color="000000" w:fill="FEE382"/>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0</w:t>
            </w:r>
            <w:r w:rsidR="00E904A8">
              <w:rPr>
                <w:color w:val="000000"/>
                <w:sz w:val="20"/>
                <w:szCs w:val="20"/>
              </w:rPr>
              <w:t>.</w:t>
            </w:r>
            <w:r w:rsidRPr="00722899">
              <w:rPr>
                <w:color w:val="000000"/>
                <w:sz w:val="20"/>
                <w:szCs w:val="20"/>
              </w:rPr>
              <w:t>3</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Dolj</w:t>
            </w:r>
          </w:p>
        </w:tc>
        <w:tc>
          <w:tcPr>
            <w:tcW w:w="1113" w:type="dxa"/>
            <w:tcBorders>
              <w:top w:val="nil"/>
              <w:left w:val="nil"/>
              <w:bottom w:val="single" w:sz="4" w:space="0" w:color="auto"/>
              <w:right w:val="single" w:sz="4" w:space="0" w:color="auto"/>
            </w:tcBorders>
            <w:shd w:val="clear" w:color="000000" w:fill="FBAD78"/>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7</w:t>
            </w:r>
            <w:r w:rsidR="00E904A8">
              <w:rPr>
                <w:color w:val="000000"/>
                <w:sz w:val="20"/>
                <w:szCs w:val="20"/>
              </w:rPr>
              <w:t>.</w:t>
            </w:r>
            <w:r w:rsidRPr="00722899">
              <w:rPr>
                <w:color w:val="000000"/>
                <w:sz w:val="20"/>
                <w:szCs w:val="20"/>
              </w:rPr>
              <w:t>9</w:t>
            </w:r>
          </w:p>
        </w:tc>
        <w:tc>
          <w:tcPr>
            <w:tcW w:w="1113" w:type="dxa"/>
            <w:tcBorders>
              <w:top w:val="nil"/>
              <w:left w:val="nil"/>
              <w:bottom w:val="single" w:sz="4" w:space="0" w:color="auto"/>
              <w:right w:val="single" w:sz="4" w:space="0" w:color="auto"/>
            </w:tcBorders>
            <w:shd w:val="clear" w:color="000000" w:fill="E5E4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11</w:t>
            </w:r>
            <w:r w:rsidR="00E904A8">
              <w:rPr>
                <w:color w:val="000000"/>
                <w:sz w:val="20"/>
                <w:szCs w:val="20"/>
              </w:rPr>
              <w:t>.</w:t>
            </w:r>
            <w:r w:rsidRPr="00722899">
              <w:rPr>
                <w:color w:val="000000"/>
                <w:sz w:val="20"/>
                <w:szCs w:val="20"/>
              </w:rPr>
              <w:t>3</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Tulcea</w:t>
            </w:r>
          </w:p>
        </w:tc>
        <w:tc>
          <w:tcPr>
            <w:tcW w:w="1113" w:type="dxa"/>
            <w:tcBorders>
              <w:top w:val="nil"/>
              <w:left w:val="nil"/>
              <w:bottom w:val="single" w:sz="4" w:space="0" w:color="auto"/>
              <w:right w:val="single" w:sz="4" w:space="0" w:color="auto"/>
            </w:tcBorders>
            <w:shd w:val="clear" w:color="000000" w:fill="FBA977"/>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6</w:t>
            </w:r>
            <w:r w:rsidR="00E904A8">
              <w:rPr>
                <w:color w:val="000000"/>
                <w:sz w:val="20"/>
                <w:szCs w:val="20"/>
              </w:rPr>
              <w:t>.</w:t>
            </w:r>
            <w:r w:rsidRPr="00722899">
              <w:rPr>
                <w:color w:val="000000"/>
                <w:sz w:val="20"/>
                <w:szCs w:val="20"/>
              </w:rPr>
              <w:t>7</w:t>
            </w:r>
          </w:p>
        </w:tc>
        <w:tc>
          <w:tcPr>
            <w:tcW w:w="1113" w:type="dxa"/>
            <w:tcBorders>
              <w:top w:val="nil"/>
              <w:left w:val="nil"/>
              <w:bottom w:val="single" w:sz="4" w:space="0" w:color="auto"/>
              <w:right w:val="single" w:sz="4" w:space="0" w:color="auto"/>
            </w:tcBorders>
            <w:shd w:val="clear" w:color="000000" w:fill="FDD07E"/>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-5</w:t>
            </w:r>
            <w:r w:rsidR="00E904A8">
              <w:rPr>
                <w:color w:val="000000"/>
                <w:sz w:val="20"/>
                <w:szCs w:val="20"/>
              </w:rPr>
              <w:t>.</w:t>
            </w:r>
            <w:r w:rsidRPr="00722899">
              <w:rPr>
                <w:color w:val="000000"/>
                <w:sz w:val="20"/>
                <w:szCs w:val="20"/>
              </w:rPr>
              <w:t>1</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Galaţi</w:t>
            </w:r>
          </w:p>
        </w:tc>
        <w:tc>
          <w:tcPr>
            <w:tcW w:w="1113" w:type="dxa"/>
            <w:tcBorders>
              <w:top w:val="nil"/>
              <w:left w:val="nil"/>
              <w:bottom w:val="single" w:sz="4" w:space="0" w:color="auto"/>
              <w:right w:val="single" w:sz="4" w:space="0" w:color="auto"/>
            </w:tcBorders>
            <w:shd w:val="clear" w:color="000000" w:fill="96CD7E"/>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53</w:t>
            </w:r>
            <w:r w:rsidR="00E904A8">
              <w:rPr>
                <w:color w:val="000000"/>
                <w:sz w:val="20"/>
                <w:szCs w:val="20"/>
              </w:rPr>
              <w:t>.</w:t>
            </w:r>
            <w:r w:rsidRPr="00722899">
              <w:rPr>
                <w:color w:val="000000"/>
                <w:sz w:val="20"/>
                <w:szCs w:val="20"/>
              </w:rPr>
              <w:t>6</w:t>
            </w:r>
          </w:p>
        </w:tc>
        <w:tc>
          <w:tcPr>
            <w:tcW w:w="1113" w:type="dxa"/>
            <w:tcBorders>
              <w:top w:val="nil"/>
              <w:left w:val="nil"/>
              <w:bottom w:val="single" w:sz="4" w:space="0" w:color="auto"/>
              <w:right w:val="single" w:sz="4" w:space="0" w:color="auto"/>
            </w:tcBorders>
            <w:shd w:val="clear" w:color="000000" w:fill="63BE7B"/>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55</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Vaslui</w:t>
            </w:r>
          </w:p>
        </w:tc>
        <w:tc>
          <w:tcPr>
            <w:tcW w:w="1113" w:type="dxa"/>
            <w:tcBorders>
              <w:top w:val="nil"/>
              <w:left w:val="nil"/>
              <w:bottom w:val="single" w:sz="4" w:space="0" w:color="auto"/>
              <w:right w:val="single" w:sz="4" w:space="0" w:color="auto"/>
            </w:tcBorders>
            <w:shd w:val="clear" w:color="000000" w:fill="F87A6E"/>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-5</w:t>
            </w:r>
            <w:r w:rsidR="00E904A8">
              <w:rPr>
                <w:color w:val="000000"/>
                <w:sz w:val="20"/>
                <w:szCs w:val="20"/>
              </w:rPr>
              <w:t>.</w:t>
            </w:r>
            <w:r w:rsidRPr="00722899">
              <w:rPr>
                <w:color w:val="000000"/>
                <w:sz w:val="20"/>
                <w:szCs w:val="20"/>
              </w:rPr>
              <w:t>5</w:t>
            </w:r>
          </w:p>
        </w:tc>
        <w:tc>
          <w:tcPr>
            <w:tcW w:w="1113" w:type="dxa"/>
            <w:tcBorders>
              <w:top w:val="nil"/>
              <w:left w:val="nil"/>
              <w:bottom w:val="single" w:sz="4" w:space="0" w:color="auto"/>
              <w:right w:val="single" w:sz="4" w:space="0" w:color="auto"/>
            </w:tcBorders>
            <w:shd w:val="clear" w:color="000000" w:fill="FA8E72"/>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-24</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Giurgiu</w:t>
            </w:r>
          </w:p>
        </w:tc>
        <w:tc>
          <w:tcPr>
            <w:tcW w:w="1113" w:type="dxa"/>
            <w:tcBorders>
              <w:top w:val="nil"/>
              <w:left w:val="nil"/>
              <w:bottom w:val="single" w:sz="4" w:space="0" w:color="auto"/>
              <w:right w:val="single" w:sz="4" w:space="0" w:color="auto"/>
            </w:tcBorders>
            <w:shd w:val="clear" w:color="000000" w:fill="63BE7B"/>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67</w:t>
            </w:r>
            <w:r w:rsidR="00E904A8">
              <w:rPr>
                <w:color w:val="000000"/>
                <w:sz w:val="20"/>
                <w:szCs w:val="20"/>
              </w:rPr>
              <w:t>.</w:t>
            </w:r>
            <w:r w:rsidRPr="00722899">
              <w:rPr>
                <w:color w:val="000000"/>
                <w:sz w:val="20"/>
                <w:szCs w:val="20"/>
              </w:rPr>
              <w:t>9</w:t>
            </w:r>
          </w:p>
        </w:tc>
        <w:tc>
          <w:tcPr>
            <w:tcW w:w="1113" w:type="dxa"/>
            <w:tcBorders>
              <w:top w:val="nil"/>
              <w:left w:val="nil"/>
              <w:bottom w:val="single" w:sz="4" w:space="0" w:color="auto"/>
              <w:right w:val="single" w:sz="4" w:space="0" w:color="auto"/>
            </w:tcBorders>
            <w:shd w:val="clear" w:color="000000" w:fill="ACD380"/>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30</w:t>
            </w:r>
            <w:r w:rsidR="00E904A8">
              <w:rPr>
                <w:color w:val="000000"/>
                <w:sz w:val="20"/>
                <w:szCs w:val="20"/>
              </w:rPr>
              <w:t>.</w:t>
            </w:r>
            <w:r w:rsidRPr="00722899">
              <w:rPr>
                <w:color w:val="000000"/>
                <w:sz w:val="20"/>
                <w:szCs w:val="20"/>
              </w:rPr>
              <w:t>4</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Vâlcea</w:t>
            </w:r>
          </w:p>
        </w:tc>
        <w:tc>
          <w:tcPr>
            <w:tcW w:w="1113" w:type="dxa"/>
            <w:tcBorders>
              <w:top w:val="nil"/>
              <w:left w:val="nil"/>
              <w:bottom w:val="single" w:sz="4" w:space="0" w:color="auto"/>
              <w:right w:val="single" w:sz="4" w:space="0" w:color="auto"/>
            </w:tcBorders>
            <w:shd w:val="clear" w:color="000000" w:fill="FBB279"/>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9</w:t>
            </w:r>
            <w:r w:rsidR="00E904A8">
              <w:rPr>
                <w:color w:val="000000"/>
                <w:sz w:val="20"/>
                <w:szCs w:val="20"/>
              </w:rPr>
              <w:t>.</w:t>
            </w:r>
            <w:r w:rsidRPr="00722899">
              <w:rPr>
                <w:color w:val="000000"/>
                <w:sz w:val="20"/>
                <w:szCs w:val="20"/>
              </w:rPr>
              <w:t>1</w:t>
            </w:r>
          </w:p>
        </w:tc>
        <w:tc>
          <w:tcPr>
            <w:tcW w:w="1113" w:type="dxa"/>
            <w:tcBorders>
              <w:top w:val="nil"/>
              <w:left w:val="nil"/>
              <w:bottom w:val="single" w:sz="4" w:space="0" w:color="auto"/>
              <w:right w:val="single" w:sz="4" w:space="0" w:color="auto"/>
            </w:tcBorders>
            <w:shd w:val="clear" w:color="000000" w:fill="F98B71"/>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-24</w:t>
            </w:r>
            <w:r w:rsidR="00E904A8">
              <w:rPr>
                <w:color w:val="000000"/>
                <w:sz w:val="20"/>
                <w:szCs w:val="20"/>
              </w:rPr>
              <w:t>.</w:t>
            </w:r>
            <w:r w:rsidRPr="00722899">
              <w:rPr>
                <w:color w:val="000000"/>
                <w:sz w:val="20"/>
                <w:szCs w:val="20"/>
              </w:rPr>
              <w:t>8</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Gorj</w:t>
            </w:r>
          </w:p>
        </w:tc>
        <w:tc>
          <w:tcPr>
            <w:tcW w:w="1113" w:type="dxa"/>
            <w:tcBorders>
              <w:top w:val="nil"/>
              <w:left w:val="nil"/>
              <w:bottom w:val="single" w:sz="4" w:space="0" w:color="auto"/>
              <w:right w:val="single" w:sz="4" w:space="0" w:color="auto"/>
            </w:tcBorders>
            <w:shd w:val="clear" w:color="000000" w:fill="FCB579"/>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10</w:t>
            </w:r>
            <w:r w:rsidR="00E904A8">
              <w:rPr>
                <w:color w:val="000000"/>
                <w:sz w:val="20"/>
                <w:szCs w:val="20"/>
              </w:rPr>
              <w:t>.</w:t>
            </w:r>
            <w:r w:rsidRPr="00722899">
              <w:rPr>
                <w:color w:val="000000"/>
                <w:sz w:val="20"/>
                <w:szCs w:val="20"/>
              </w:rPr>
              <w:t>1</w:t>
            </w:r>
          </w:p>
        </w:tc>
        <w:tc>
          <w:tcPr>
            <w:tcW w:w="1113" w:type="dxa"/>
            <w:tcBorders>
              <w:top w:val="nil"/>
              <w:left w:val="nil"/>
              <w:bottom w:val="single" w:sz="4" w:space="0" w:color="auto"/>
              <w:right w:val="single" w:sz="4" w:space="0" w:color="auto"/>
            </w:tcBorders>
            <w:shd w:val="clear" w:color="000000" w:fill="FDC67C"/>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-8</w:t>
            </w:r>
            <w:r w:rsidR="00E904A8">
              <w:rPr>
                <w:color w:val="000000"/>
                <w:sz w:val="20"/>
                <w:szCs w:val="20"/>
              </w:rPr>
              <w:t>.</w:t>
            </w:r>
            <w:r w:rsidRPr="00722899">
              <w:rPr>
                <w:color w:val="000000"/>
                <w:sz w:val="20"/>
                <w:szCs w:val="20"/>
              </w:rPr>
              <w:t>1</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Vrancea</w:t>
            </w:r>
          </w:p>
        </w:tc>
        <w:tc>
          <w:tcPr>
            <w:tcW w:w="1113" w:type="dxa"/>
            <w:tcBorders>
              <w:top w:val="nil"/>
              <w:left w:val="nil"/>
              <w:bottom w:val="single" w:sz="4" w:space="0" w:color="auto"/>
              <w:right w:val="single" w:sz="4" w:space="0" w:color="auto"/>
            </w:tcBorders>
            <w:shd w:val="clear" w:color="000000" w:fill="F86D6B"/>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-8</w:t>
            </w:r>
            <w:r w:rsidR="00E904A8">
              <w:rPr>
                <w:color w:val="000000"/>
                <w:sz w:val="20"/>
                <w:szCs w:val="20"/>
              </w:rPr>
              <w:t>.</w:t>
            </w:r>
            <w:r w:rsidRPr="00722899">
              <w:rPr>
                <w:color w:val="000000"/>
                <w:sz w:val="20"/>
                <w:szCs w:val="20"/>
              </w:rPr>
              <w:t>8</w:t>
            </w:r>
          </w:p>
        </w:tc>
        <w:tc>
          <w:tcPr>
            <w:tcW w:w="1113" w:type="dxa"/>
            <w:tcBorders>
              <w:top w:val="nil"/>
              <w:left w:val="nil"/>
              <w:bottom w:val="single" w:sz="4" w:space="0" w:color="auto"/>
              <w:right w:val="single" w:sz="4" w:space="0" w:color="auto"/>
            </w:tcBorders>
            <w:shd w:val="clear" w:color="000000" w:fill="FBAF78"/>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-14</w:t>
            </w:r>
            <w:r w:rsidR="00E904A8">
              <w:rPr>
                <w:color w:val="000000"/>
                <w:sz w:val="20"/>
                <w:szCs w:val="20"/>
              </w:rPr>
              <w:t>.</w:t>
            </w:r>
            <w:r w:rsidRPr="00722899">
              <w:rPr>
                <w:color w:val="000000"/>
                <w:sz w:val="20"/>
                <w:szCs w:val="20"/>
              </w:rPr>
              <w:t>5</w:t>
            </w:r>
          </w:p>
        </w:tc>
      </w:tr>
      <w:tr w:rsidR="00F92046" w:rsidRPr="009E5026" w:rsidTr="00834EFF">
        <w:trPr>
          <w:trHeight w:val="300"/>
          <w:jc w:val="center"/>
        </w:trPr>
        <w:tc>
          <w:tcPr>
            <w:tcW w:w="1640" w:type="dxa"/>
            <w:tcBorders>
              <w:top w:val="nil"/>
              <w:left w:val="single" w:sz="4" w:space="0" w:color="auto"/>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Harghita</w:t>
            </w:r>
          </w:p>
        </w:tc>
        <w:tc>
          <w:tcPr>
            <w:tcW w:w="1113" w:type="dxa"/>
            <w:tcBorders>
              <w:top w:val="nil"/>
              <w:left w:val="nil"/>
              <w:bottom w:val="single" w:sz="4" w:space="0" w:color="auto"/>
              <w:right w:val="single" w:sz="4" w:space="0" w:color="auto"/>
            </w:tcBorders>
            <w:shd w:val="clear" w:color="000000" w:fill="FDD37F"/>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17</w:t>
            </w:r>
            <w:r w:rsidR="00E904A8">
              <w:rPr>
                <w:color w:val="000000"/>
                <w:sz w:val="20"/>
                <w:szCs w:val="20"/>
              </w:rPr>
              <w:t>.</w:t>
            </w:r>
            <w:r w:rsidRPr="00722899">
              <w:rPr>
                <w:color w:val="000000"/>
                <w:sz w:val="20"/>
                <w:szCs w:val="20"/>
              </w:rPr>
              <w:t>8</w:t>
            </w:r>
          </w:p>
        </w:tc>
        <w:tc>
          <w:tcPr>
            <w:tcW w:w="1113" w:type="dxa"/>
            <w:tcBorders>
              <w:top w:val="nil"/>
              <w:left w:val="nil"/>
              <w:bottom w:val="single" w:sz="4" w:space="0" w:color="auto"/>
              <w:right w:val="single" w:sz="4" w:space="0" w:color="auto"/>
            </w:tcBorders>
            <w:shd w:val="clear" w:color="000000" w:fill="FDD57F"/>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-3</w:t>
            </w:r>
            <w:r w:rsidR="00E904A8">
              <w:rPr>
                <w:color w:val="000000"/>
                <w:sz w:val="20"/>
                <w:szCs w:val="20"/>
              </w:rPr>
              <w:t>.</w:t>
            </w:r>
            <w:r w:rsidRPr="00722899">
              <w:rPr>
                <w:color w:val="000000"/>
                <w:sz w:val="20"/>
                <w:szCs w:val="20"/>
              </w:rPr>
              <w:t>8</w:t>
            </w:r>
          </w:p>
        </w:tc>
        <w:tc>
          <w:tcPr>
            <w:tcW w:w="1900" w:type="dxa"/>
            <w:tcBorders>
              <w:top w:val="nil"/>
              <w:left w:val="nil"/>
              <w:bottom w:val="single" w:sz="4" w:space="0" w:color="auto"/>
              <w:right w:val="single" w:sz="4" w:space="0" w:color="auto"/>
            </w:tcBorders>
            <w:shd w:val="clear" w:color="000000" w:fill="C2D69A"/>
            <w:noWrap/>
            <w:vAlign w:val="bottom"/>
          </w:tcPr>
          <w:p w:rsidR="00F92046" w:rsidRPr="00722899" w:rsidRDefault="00F92046" w:rsidP="0022361A">
            <w:pPr>
              <w:spacing w:after="0" w:line="240" w:lineRule="auto"/>
              <w:rPr>
                <w:color w:val="000000"/>
                <w:sz w:val="20"/>
                <w:szCs w:val="20"/>
              </w:rPr>
            </w:pPr>
            <w:r w:rsidRPr="00722899">
              <w:rPr>
                <w:color w:val="000000"/>
                <w:sz w:val="20"/>
                <w:szCs w:val="20"/>
              </w:rPr>
              <w:t>Municipiul Bucureşti</w:t>
            </w:r>
          </w:p>
        </w:tc>
        <w:tc>
          <w:tcPr>
            <w:tcW w:w="1113" w:type="dxa"/>
            <w:tcBorders>
              <w:top w:val="nil"/>
              <w:left w:val="nil"/>
              <w:bottom w:val="single" w:sz="4" w:space="0" w:color="auto"/>
              <w:right w:val="single" w:sz="4" w:space="0" w:color="auto"/>
            </w:tcBorders>
            <w:shd w:val="clear" w:color="000000" w:fill="FEE8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23</w:t>
            </w:r>
            <w:r w:rsidR="00E904A8">
              <w:rPr>
                <w:color w:val="000000"/>
                <w:sz w:val="20"/>
                <w:szCs w:val="20"/>
              </w:rPr>
              <w:t>.</w:t>
            </w:r>
            <w:r w:rsidRPr="00722899">
              <w:rPr>
                <w:color w:val="000000"/>
                <w:sz w:val="20"/>
                <w:szCs w:val="20"/>
              </w:rPr>
              <w:t>4</w:t>
            </w:r>
          </w:p>
        </w:tc>
        <w:tc>
          <w:tcPr>
            <w:tcW w:w="1113" w:type="dxa"/>
            <w:tcBorders>
              <w:top w:val="nil"/>
              <w:left w:val="nil"/>
              <w:bottom w:val="single" w:sz="4" w:space="0" w:color="auto"/>
              <w:right w:val="single" w:sz="4" w:space="0" w:color="auto"/>
            </w:tcBorders>
            <w:shd w:val="clear" w:color="000000" w:fill="ECE683"/>
            <w:noWrap/>
            <w:vAlign w:val="bottom"/>
          </w:tcPr>
          <w:p w:rsidR="00F92046" w:rsidRPr="00722899" w:rsidRDefault="00F92046" w:rsidP="0022361A">
            <w:pPr>
              <w:spacing w:after="0" w:line="240" w:lineRule="auto"/>
              <w:jc w:val="center"/>
              <w:rPr>
                <w:color w:val="000000"/>
                <w:sz w:val="20"/>
                <w:szCs w:val="20"/>
              </w:rPr>
            </w:pPr>
            <w:r w:rsidRPr="00722899">
              <w:rPr>
                <w:color w:val="000000"/>
                <w:sz w:val="20"/>
                <w:szCs w:val="20"/>
              </w:rPr>
              <w:t>9</w:t>
            </w:r>
          </w:p>
        </w:tc>
      </w:tr>
    </w:tbl>
    <w:p w:rsidR="00F92046" w:rsidRDefault="00F92046" w:rsidP="00206577">
      <w:pPr>
        <w:jc w:val="both"/>
        <w:rPr>
          <w:sz w:val="24"/>
          <w:szCs w:val="24"/>
          <w:lang w:val="ro-RO"/>
        </w:rPr>
      </w:pPr>
    </w:p>
    <w:p w:rsidR="00357E6D" w:rsidRPr="003126E1" w:rsidRDefault="00357E6D" w:rsidP="00206577">
      <w:pPr>
        <w:jc w:val="both"/>
        <w:rPr>
          <w:sz w:val="24"/>
          <w:szCs w:val="24"/>
          <w:lang w:val="ro-RO"/>
        </w:rPr>
      </w:pPr>
      <w:r w:rsidRPr="00357E6D">
        <w:rPr>
          <w:sz w:val="24"/>
          <w:szCs w:val="24"/>
          <w:lang w:val="ro-RO"/>
        </w:rPr>
        <w:t>Although the vast majority of counties</w:t>
      </w:r>
      <w:r w:rsidR="00E904A8">
        <w:rPr>
          <w:sz w:val="24"/>
          <w:szCs w:val="24"/>
          <w:lang w:val="ro-RO"/>
        </w:rPr>
        <w:t xml:space="preserve"> withnessed</w:t>
      </w:r>
      <w:r w:rsidRPr="00357E6D">
        <w:rPr>
          <w:sz w:val="24"/>
          <w:szCs w:val="24"/>
          <w:lang w:val="ro-RO"/>
        </w:rPr>
        <w:t xml:space="preserve"> increase</w:t>
      </w:r>
      <w:r w:rsidR="00401E52">
        <w:rPr>
          <w:sz w:val="24"/>
          <w:szCs w:val="24"/>
          <w:lang w:val="ro-RO"/>
        </w:rPr>
        <w:t>s</w:t>
      </w:r>
      <w:r w:rsidRPr="00357E6D">
        <w:rPr>
          <w:sz w:val="24"/>
          <w:szCs w:val="24"/>
          <w:lang w:val="ro-RO"/>
        </w:rPr>
        <w:t xml:space="preserve"> in 2021, in a large number of cases they were not enough to cover the losses </w:t>
      </w:r>
      <w:r>
        <w:rPr>
          <w:sz w:val="24"/>
          <w:szCs w:val="24"/>
          <w:lang w:val="ro-RO"/>
        </w:rPr>
        <w:t xml:space="preserve">from </w:t>
      </w:r>
      <w:r w:rsidRPr="00357E6D">
        <w:rPr>
          <w:sz w:val="24"/>
          <w:szCs w:val="24"/>
          <w:lang w:val="ro-RO"/>
        </w:rPr>
        <w:t>2020, so the number of counties with exports in the first eight months of 2021 below the corresponding period of 2019 is significantly higher.</w:t>
      </w:r>
    </w:p>
    <w:p w:rsidR="00B76F64" w:rsidRPr="003126E1" w:rsidRDefault="00B76F64" w:rsidP="00206577">
      <w:pPr>
        <w:jc w:val="both"/>
        <w:rPr>
          <w:sz w:val="24"/>
          <w:szCs w:val="24"/>
          <w:lang w:val="ro-RO"/>
        </w:rPr>
      </w:pPr>
      <w:r w:rsidRPr="00B76F64">
        <w:rPr>
          <w:sz w:val="24"/>
          <w:szCs w:val="24"/>
          <w:lang w:val="ro-RO"/>
        </w:rPr>
        <w:t xml:space="preserve">In addition to the causes mentioned above in the counties with exports in </w:t>
      </w:r>
      <w:r w:rsidR="00673BC0" w:rsidRPr="00673BC0">
        <w:rPr>
          <w:i/>
          <w:sz w:val="24"/>
          <w:szCs w:val="24"/>
          <w:lang w:val="ro-RO"/>
        </w:rPr>
        <w:t>lohn</w:t>
      </w:r>
      <w:r w:rsidRPr="00B76F64">
        <w:rPr>
          <w:sz w:val="24"/>
          <w:szCs w:val="24"/>
          <w:lang w:val="ro-RO"/>
        </w:rPr>
        <w:t xml:space="preserve"> </w:t>
      </w:r>
      <w:r w:rsidR="00401E52">
        <w:rPr>
          <w:sz w:val="24"/>
          <w:szCs w:val="24"/>
          <w:lang w:val="ro-RO"/>
        </w:rPr>
        <w:t>come on top</w:t>
      </w:r>
      <w:r w:rsidRPr="00B76F64">
        <w:rPr>
          <w:sz w:val="24"/>
          <w:szCs w:val="24"/>
          <w:lang w:val="ro-RO"/>
        </w:rPr>
        <w:t xml:space="preserve"> the problems generated by the pandemic that acted in 2021</w:t>
      </w:r>
      <w:r>
        <w:rPr>
          <w:sz w:val="24"/>
          <w:szCs w:val="24"/>
          <w:lang w:val="ro-RO"/>
        </w:rPr>
        <w:t xml:space="preserve">: </w:t>
      </w:r>
      <w:r w:rsidRPr="00B76F64">
        <w:rPr>
          <w:sz w:val="24"/>
          <w:szCs w:val="24"/>
          <w:lang w:val="ro-RO"/>
        </w:rPr>
        <w:t>(i) the semiconductor crisis and other electronic inputs that mainly affected the counties in which the automotive components industry is located (mainly Arad, Argeş, Sibiu)</w:t>
      </w:r>
      <w:r>
        <w:rPr>
          <w:sz w:val="24"/>
          <w:szCs w:val="24"/>
          <w:lang w:val="ro-RO"/>
        </w:rPr>
        <w:t>,</w:t>
      </w:r>
      <w:r w:rsidRPr="00B76F64">
        <w:t xml:space="preserve"> </w:t>
      </w:r>
      <w:r w:rsidRPr="00B76F64">
        <w:rPr>
          <w:sz w:val="24"/>
          <w:szCs w:val="24"/>
          <w:lang w:val="ro-RO"/>
        </w:rPr>
        <w:t xml:space="preserve">(ii) </w:t>
      </w:r>
      <w:r w:rsidR="00E8346A" w:rsidRPr="00E8346A">
        <w:rPr>
          <w:sz w:val="24"/>
          <w:szCs w:val="24"/>
          <w:lang w:val="ro-RO"/>
        </w:rPr>
        <w:t>disruptions</w:t>
      </w:r>
      <w:r w:rsidRPr="00B76F64">
        <w:rPr>
          <w:sz w:val="24"/>
          <w:szCs w:val="24"/>
          <w:lang w:val="ro-RO"/>
        </w:rPr>
        <w:t xml:space="preserve"> of international transport and </w:t>
      </w:r>
      <w:r>
        <w:rPr>
          <w:sz w:val="24"/>
          <w:szCs w:val="24"/>
          <w:lang w:val="ro-RO"/>
        </w:rPr>
        <w:t xml:space="preserve">the </w:t>
      </w:r>
      <w:r w:rsidRPr="00B76F64">
        <w:rPr>
          <w:sz w:val="24"/>
          <w:szCs w:val="24"/>
          <w:lang w:val="ro-RO"/>
        </w:rPr>
        <w:t>increase in transport tariffs as a result of the container crisis</w:t>
      </w:r>
      <w:r w:rsidR="00F84DBF">
        <w:rPr>
          <w:sz w:val="24"/>
          <w:szCs w:val="24"/>
          <w:lang w:val="ro-RO"/>
        </w:rPr>
        <w:t>,</w:t>
      </w:r>
      <w:r w:rsidR="00F84DBF" w:rsidRPr="00F84DBF">
        <w:t xml:space="preserve"> </w:t>
      </w:r>
      <w:r w:rsidR="00F84DBF" w:rsidRPr="00F84DBF">
        <w:rPr>
          <w:sz w:val="24"/>
          <w:szCs w:val="24"/>
          <w:lang w:val="ro-RO"/>
        </w:rPr>
        <w:t>and (iii) other causes such as lack of labor</w:t>
      </w:r>
      <w:r w:rsidR="00F84DBF">
        <w:rPr>
          <w:sz w:val="24"/>
          <w:szCs w:val="24"/>
          <w:lang w:val="ro-RO"/>
        </w:rPr>
        <w:t xml:space="preserve"> </w:t>
      </w:r>
      <w:r w:rsidR="00F84DBF" w:rsidRPr="00F84DBF">
        <w:rPr>
          <w:sz w:val="24"/>
          <w:szCs w:val="24"/>
          <w:lang w:val="ro-RO"/>
        </w:rPr>
        <w:t xml:space="preserve">but also </w:t>
      </w:r>
      <w:r w:rsidR="00F84DBF">
        <w:rPr>
          <w:sz w:val="24"/>
          <w:szCs w:val="24"/>
          <w:lang w:val="ro-RO"/>
        </w:rPr>
        <w:t xml:space="preserve">the </w:t>
      </w:r>
      <w:r w:rsidR="00F84DBF" w:rsidRPr="00F84DBF">
        <w:rPr>
          <w:sz w:val="24"/>
          <w:szCs w:val="24"/>
          <w:lang w:val="ro-RO"/>
        </w:rPr>
        <w:t>increases in energy and other commodity prices.</w:t>
      </w:r>
    </w:p>
    <w:p w:rsidR="002232B3" w:rsidRDefault="002232B3" w:rsidP="005C08A9">
      <w:pPr>
        <w:spacing w:after="0" w:line="240" w:lineRule="auto"/>
        <w:jc w:val="center"/>
        <w:rPr>
          <w:b/>
          <w:bCs/>
          <w:sz w:val="24"/>
          <w:szCs w:val="24"/>
          <w:lang w:val="ro-RO"/>
        </w:rPr>
      </w:pPr>
    </w:p>
    <w:p w:rsidR="00834EFF" w:rsidRDefault="00834EFF" w:rsidP="005C08A9">
      <w:pPr>
        <w:spacing w:after="0" w:line="240" w:lineRule="auto"/>
        <w:jc w:val="center"/>
        <w:rPr>
          <w:b/>
          <w:bCs/>
          <w:sz w:val="24"/>
          <w:szCs w:val="24"/>
          <w:lang w:val="ro-RO"/>
        </w:rPr>
      </w:pPr>
    </w:p>
    <w:p w:rsidR="00BB2176" w:rsidRDefault="00BB2176" w:rsidP="005C08A9">
      <w:pPr>
        <w:spacing w:after="0" w:line="240" w:lineRule="auto"/>
        <w:jc w:val="center"/>
        <w:rPr>
          <w:b/>
          <w:bCs/>
          <w:sz w:val="24"/>
          <w:szCs w:val="24"/>
          <w:lang w:val="ro-RO"/>
        </w:rPr>
      </w:pPr>
    </w:p>
    <w:p w:rsidR="00192059" w:rsidRPr="00192059" w:rsidRDefault="00192059" w:rsidP="00192059">
      <w:pPr>
        <w:spacing w:after="0" w:line="240" w:lineRule="auto"/>
        <w:jc w:val="center"/>
        <w:rPr>
          <w:b/>
          <w:bCs/>
          <w:sz w:val="24"/>
          <w:szCs w:val="24"/>
          <w:lang w:val="ro-RO"/>
        </w:rPr>
      </w:pPr>
      <w:r w:rsidRPr="00192059">
        <w:rPr>
          <w:b/>
          <w:bCs/>
          <w:sz w:val="24"/>
          <w:szCs w:val="24"/>
          <w:lang w:val="ro-RO"/>
        </w:rPr>
        <w:lastRenderedPageBreak/>
        <w:t>Chart 2 Export of goods</w:t>
      </w:r>
      <w:r>
        <w:rPr>
          <w:b/>
          <w:bCs/>
          <w:sz w:val="24"/>
          <w:szCs w:val="24"/>
          <w:lang w:val="ro-RO"/>
        </w:rPr>
        <w:t>-</w:t>
      </w:r>
      <w:r w:rsidRPr="00192059">
        <w:rPr>
          <w:b/>
          <w:bCs/>
          <w:sz w:val="24"/>
          <w:szCs w:val="24"/>
          <w:lang w:val="ro-RO"/>
        </w:rPr>
        <w:t xml:space="preserve"> FOB</w:t>
      </w:r>
    </w:p>
    <w:p w:rsidR="00F92046" w:rsidRPr="00631F7C" w:rsidRDefault="00192059" w:rsidP="00192059">
      <w:pPr>
        <w:spacing w:after="0" w:line="240" w:lineRule="auto"/>
        <w:jc w:val="center"/>
        <w:rPr>
          <w:sz w:val="20"/>
          <w:szCs w:val="20"/>
          <w:lang w:val="ro-RO"/>
        </w:rPr>
      </w:pPr>
      <w:r w:rsidRPr="00631F7C">
        <w:rPr>
          <w:bCs/>
          <w:sz w:val="20"/>
          <w:szCs w:val="20"/>
          <w:lang w:val="ro-RO"/>
        </w:rPr>
        <w:t>(</w:t>
      </w:r>
      <w:r w:rsidR="00631F7C">
        <w:rPr>
          <w:bCs/>
          <w:sz w:val="20"/>
          <w:szCs w:val="20"/>
          <w:lang w:val="ro-RO"/>
        </w:rPr>
        <w:t xml:space="preserve">the </w:t>
      </w:r>
      <w:r w:rsidRPr="00631F7C">
        <w:rPr>
          <w:bCs/>
          <w:sz w:val="20"/>
          <w:szCs w:val="20"/>
          <w:lang w:val="ro-RO"/>
        </w:rPr>
        <w:t>difference</w:t>
      </w:r>
      <w:r w:rsidR="00631F7C">
        <w:rPr>
          <w:bCs/>
          <w:sz w:val="20"/>
          <w:szCs w:val="20"/>
          <w:lang w:val="ro-RO"/>
        </w:rPr>
        <w:t xml:space="preserve"> of</w:t>
      </w:r>
      <w:r w:rsidRPr="00631F7C">
        <w:rPr>
          <w:bCs/>
          <w:sz w:val="20"/>
          <w:szCs w:val="20"/>
          <w:lang w:val="ro-RO"/>
        </w:rPr>
        <w:t xml:space="preserve"> 8 months 2021 compared to 8 months 2019, million euros)</w:t>
      </w:r>
    </w:p>
    <w:p w:rsidR="00F92046" w:rsidRPr="003126E1" w:rsidRDefault="005A3E48" w:rsidP="00E665EB">
      <w:pPr>
        <w:spacing w:after="0" w:line="240" w:lineRule="auto"/>
        <w:jc w:val="center"/>
        <w:rPr>
          <w:sz w:val="24"/>
          <w:szCs w:val="24"/>
          <w:lang w:val="ro-RO"/>
        </w:rPr>
      </w:pPr>
      <w:r>
        <w:rPr>
          <w:noProof/>
          <w:sz w:val="24"/>
          <w:szCs w:val="24"/>
        </w:rPr>
        <w:drawing>
          <wp:inline distT="0" distB="0" distL="0" distR="0">
            <wp:extent cx="5001260" cy="1932305"/>
            <wp:effectExtent l="19050" t="0" r="8890" b="0"/>
            <wp:docPr id="2"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9"/>
                    <a:srcRect/>
                    <a:stretch>
                      <a:fillRect/>
                    </a:stretch>
                  </pic:blipFill>
                  <pic:spPr bwMode="auto">
                    <a:xfrm>
                      <a:off x="0" y="0"/>
                      <a:ext cx="5001260" cy="1932305"/>
                    </a:xfrm>
                    <a:prstGeom prst="rect">
                      <a:avLst/>
                    </a:prstGeom>
                    <a:noFill/>
                    <a:ln w="9525">
                      <a:noFill/>
                      <a:miter lim="800000"/>
                      <a:headEnd/>
                      <a:tailEnd/>
                    </a:ln>
                  </pic:spPr>
                </pic:pic>
              </a:graphicData>
            </a:graphic>
          </wp:inline>
        </w:drawing>
      </w:r>
    </w:p>
    <w:p w:rsidR="00834EFF" w:rsidRDefault="00834EFF" w:rsidP="00834EFF">
      <w:pPr>
        <w:spacing w:after="0" w:line="240" w:lineRule="auto"/>
        <w:ind w:left="720"/>
        <w:jc w:val="both"/>
        <w:rPr>
          <w:sz w:val="16"/>
          <w:szCs w:val="16"/>
          <w:lang w:val="ro-RO"/>
        </w:rPr>
      </w:pPr>
      <w:r>
        <w:rPr>
          <w:sz w:val="16"/>
          <w:szCs w:val="16"/>
          <w:lang w:val="ro-RO"/>
        </w:rPr>
        <w:t>* The value for Bucharest booked +697 millions</w:t>
      </w:r>
      <w:r w:rsidRPr="00E665EB">
        <w:rPr>
          <w:sz w:val="16"/>
          <w:szCs w:val="16"/>
          <w:lang w:val="ro-RO"/>
        </w:rPr>
        <w:t xml:space="preserve"> </w:t>
      </w:r>
      <w:r>
        <w:rPr>
          <w:sz w:val="16"/>
          <w:szCs w:val="16"/>
          <w:lang w:val="ro-RO"/>
        </w:rPr>
        <w:t>euro. It was truncated for graphical illustration purposes</w:t>
      </w:r>
      <w:r w:rsidRPr="00E665EB">
        <w:rPr>
          <w:sz w:val="16"/>
          <w:szCs w:val="16"/>
          <w:lang w:val="ro-RO"/>
        </w:rPr>
        <w:t>.</w:t>
      </w:r>
    </w:p>
    <w:p w:rsidR="00F92046" w:rsidRPr="00894194" w:rsidRDefault="00F92046" w:rsidP="00894194">
      <w:pPr>
        <w:spacing w:after="0" w:line="240" w:lineRule="auto"/>
        <w:ind w:left="720"/>
        <w:jc w:val="both"/>
        <w:rPr>
          <w:sz w:val="16"/>
          <w:szCs w:val="16"/>
          <w:lang w:val="ro-RO"/>
        </w:rPr>
      </w:pPr>
    </w:p>
    <w:p w:rsidR="002232B3" w:rsidRPr="003126E1" w:rsidRDefault="002232B3" w:rsidP="005E4EF4">
      <w:pPr>
        <w:jc w:val="both"/>
        <w:rPr>
          <w:sz w:val="24"/>
          <w:szCs w:val="24"/>
          <w:lang w:val="ro-RO"/>
        </w:rPr>
      </w:pPr>
      <w:r w:rsidRPr="002232B3">
        <w:rPr>
          <w:sz w:val="24"/>
          <w:szCs w:val="24"/>
          <w:lang w:val="ro-RO"/>
        </w:rPr>
        <w:t xml:space="preserve">In order to better illustrate the export situation compared to the pre-pandemic period </w:t>
      </w:r>
      <w:r>
        <w:rPr>
          <w:sz w:val="24"/>
          <w:szCs w:val="24"/>
          <w:lang w:val="ro-RO"/>
        </w:rPr>
        <w:t>was graphically represented</w:t>
      </w:r>
      <w:r w:rsidRPr="002232B3">
        <w:rPr>
          <w:sz w:val="24"/>
          <w:szCs w:val="24"/>
          <w:lang w:val="ro-RO"/>
        </w:rPr>
        <w:t xml:space="preserve"> the absolute increase (in millions of euros, current prices) of the indicator</w:t>
      </w:r>
      <w:r w:rsidR="006271EF">
        <w:rPr>
          <w:sz w:val="24"/>
          <w:szCs w:val="24"/>
          <w:lang w:val="ro-RO"/>
        </w:rPr>
        <w:t>.</w:t>
      </w:r>
      <w:r w:rsidRPr="002232B3">
        <w:rPr>
          <w:sz w:val="24"/>
          <w:szCs w:val="24"/>
          <w:lang w:val="ro-RO"/>
        </w:rPr>
        <w:t xml:space="preserve"> </w:t>
      </w:r>
    </w:p>
    <w:p w:rsidR="00603C28" w:rsidRDefault="00603C28" w:rsidP="00787B57">
      <w:pPr>
        <w:jc w:val="both"/>
        <w:rPr>
          <w:sz w:val="24"/>
          <w:szCs w:val="24"/>
          <w:lang w:val="ro-RO"/>
        </w:rPr>
      </w:pPr>
      <w:r w:rsidRPr="00603C28">
        <w:rPr>
          <w:sz w:val="24"/>
          <w:szCs w:val="24"/>
          <w:lang w:val="ro-RO"/>
        </w:rPr>
        <w:t xml:space="preserve">From the point of view of the </w:t>
      </w:r>
      <w:r w:rsidR="00673BC0" w:rsidRPr="00673BC0">
        <w:rPr>
          <w:b/>
          <w:sz w:val="24"/>
          <w:szCs w:val="24"/>
          <w:lang w:val="ro-RO"/>
        </w:rPr>
        <w:t>labor market</w:t>
      </w:r>
      <w:r w:rsidRPr="00603C28">
        <w:rPr>
          <w:sz w:val="24"/>
          <w:szCs w:val="24"/>
          <w:lang w:val="ro-RO"/>
        </w:rPr>
        <w:t xml:space="preserve"> for the first nine months of 2021, the average nu</w:t>
      </w:r>
      <w:r w:rsidR="006824BC">
        <w:rPr>
          <w:sz w:val="24"/>
          <w:szCs w:val="24"/>
          <w:lang w:val="ro-RO"/>
        </w:rPr>
        <w:t>mber of employees come closer</w:t>
      </w:r>
      <w:r w:rsidRPr="00603C28">
        <w:rPr>
          <w:sz w:val="24"/>
          <w:szCs w:val="24"/>
          <w:lang w:val="ro-RO"/>
        </w:rPr>
        <w:t>, at national level,</w:t>
      </w:r>
      <w:r w:rsidR="006824BC">
        <w:rPr>
          <w:sz w:val="24"/>
          <w:szCs w:val="24"/>
          <w:lang w:val="ro-RO"/>
        </w:rPr>
        <w:t xml:space="preserve"> to</w:t>
      </w:r>
      <w:r w:rsidRPr="00603C28">
        <w:rPr>
          <w:sz w:val="24"/>
          <w:szCs w:val="24"/>
          <w:lang w:val="ro-RO"/>
        </w:rPr>
        <w:t xml:space="preserve"> the situation in the pre-pandemic period</w:t>
      </w:r>
      <w:r>
        <w:rPr>
          <w:sz w:val="24"/>
          <w:szCs w:val="24"/>
          <w:lang w:val="ro-RO"/>
        </w:rPr>
        <w:t>.</w:t>
      </w:r>
      <w:r w:rsidR="00743F3E" w:rsidRPr="00743F3E">
        <w:t xml:space="preserve"> </w:t>
      </w:r>
      <w:r w:rsidR="00743F3E" w:rsidRPr="00743F3E">
        <w:rPr>
          <w:sz w:val="24"/>
          <w:szCs w:val="24"/>
          <w:lang w:val="ro-RO"/>
        </w:rPr>
        <w:t>However, for a significant number of counties, the labor market has not fully recovered (Chart 3).</w:t>
      </w:r>
      <w:r w:rsidR="00834EFF">
        <w:rPr>
          <w:sz w:val="24"/>
          <w:szCs w:val="24"/>
          <w:lang w:val="ro-RO"/>
        </w:rPr>
        <w:t xml:space="preserve"> </w:t>
      </w:r>
      <w:r w:rsidR="00743F3E">
        <w:t>From</w:t>
      </w:r>
      <w:r w:rsidR="00743F3E" w:rsidRPr="00743F3E">
        <w:rPr>
          <w:sz w:val="24"/>
          <w:szCs w:val="24"/>
          <w:lang w:val="ro-RO"/>
        </w:rPr>
        <w:t xml:space="preserve"> these, the biggest challenges are in Arad, Argeş, Caraş-Severin, Braşov, Prahova and Sibiu</w:t>
      </w:r>
      <w:r w:rsidR="00743F3E">
        <w:rPr>
          <w:sz w:val="24"/>
          <w:szCs w:val="24"/>
          <w:lang w:val="ro-RO"/>
        </w:rPr>
        <w:t xml:space="preserve"> counties</w:t>
      </w:r>
      <w:r w:rsidR="00743F3E" w:rsidRPr="00743F3E">
        <w:rPr>
          <w:sz w:val="24"/>
          <w:szCs w:val="24"/>
          <w:lang w:val="ro-RO"/>
        </w:rPr>
        <w:t>.</w:t>
      </w:r>
    </w:p>
    <w:p w:rsidR="00192059" w:rsidRDefault="00834EFF" w:rsidP="00E665EB">
      <w:pPr>
        <w:spacing w:after="0" w:line="240" w:lineRule="auto"/>
        <w:jc w:val="center"/>
        <w:rPr>
          <w:b/>
          <w:bCs/>
          <w:sz w:val="24"/>
          <w:szCs w:val="24"/>
          <w:lang w:val="ro-RO"/>
        </w:rPr>
      </w:pPr>
      <w:r>
        <w:rPr>
          <w:b/>
          <w:bCs/>
          <w:sz w:val="24"/>
          <w:szCs w:val="24"/>
          <w:lang w:val="ro-RO"/>
        </w:rPr>
        <w:t>Chart 3</w:t>
      </w:r>
      <w:r w:rsidR="00192059" w:rsidRPr="00192059">
        <w:rPr>
          <w:b/>
          <w:bCs/>
          <w:sz w:val="24"/>
          <w:szCs w:val="24"/>
          <w:lang w:val="ro-RO"/>
        </w:rPr>
        <w:t xml:space="preserve"> Average number of employees </w:t>
      </w:r>
    </w:p>
    <w:p w:rsidR="00F92046" w:rsidRPr="003126E1" w:rsidRDefault="00192059" w:rsidP="00E665EB">
      <w:pPr>
        <w:jc w:val="center"/>
        <w:rPr>
          <w:sz w:val="24"/>
          <w:szCs w:val="24"/>
          <w:lang w:val="ro-RO"/>
        </w:rPr>
      </w:pPr>
      <w:r w:rsidRPr="00192059">
        <w:rPr>
          <w:sz w:val="20"/>
          <w:szCs w:val="20"/>
          <w:lang w:val="ro-RO"/>
        </w:rPr>
        <w:t>(</w:t>
      </w:r>
      <w:r w:rsidR="00631F7C">
        <w:rPr>
          <w:sz w:val="20"/>
          <w:szCs w:val="20"/>
          <w:lang w:val="ro-RO"/>
        </w:rPr>
        <w:t xml:space="preserve">the </w:t>
      </w:r>
      <w:r w:rsidRPr="00192059">
        <w:rPr>
          <w:sz w:val="20"/>
          <w:szCs w:val="20"/>
          <w:lang w:val="ro-RO"/>
        </w:rPr>
        <w:t xml:space="preserve">difference </w:t>
      </w:r>
      <w:r w:rsidR="00631F7C">
        <w:rPr>
          <w:sz w:val="20"/>
          <w:szCs w:val="20"/>
          <w:lang w:val="ro-RO"/>
        </w:rPr>
        <w:t xml:space="preserve">of </w:t>
      </w:r>
      <w:r w:rsidRPr="00192059">
        <w:rPr>
          <w:sz w:val="20"/>
          <w:szCs w:val="20"/>
          <w:lang w:val="ro-RO"/>
        </w:rPr>
        <w:t>9 months 2021 compared to 9 months 2019, thousand people)</w:t>
      </w:r>
      <w:r w:rsidR="005A3E48">
        <w:rPr>
          <w:noProof/>
          <w:sz w:val="24"/>
          <w:szCs w:val="24"/>
        </w:rPr>
        <w:drawing>
          <wp:inline distT="0" distB="0" distL="0" distR="0">
            <wp:extent cx="5231765" cy="2361565"/>
            <wp:effectExtent l="19050" t="0" r="6985" b="0"/>
            <wp:docPr id="3"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0"/>
                    <a:srcRect b="-27"/>
                    <a:stretch>
                      <a:fillRect/>
                    </a:stretch>
                  </pic:blipFill>
                  <pic:spPr bwMode="auto">
                    <a:xfrm>
                      <a:off x="0" y="0"/>
                      <a:ext cx="5231765" cy="2361565"/>
                    </a:xfrm>
                    <a:prstGeom prst="rect">
                      <a:avLst/>
                    </a:prstGeom>
                    <a:noFill/>
                    <a:ln w="9525">
                      <a:noFill/>
                      <a:miter lim="800000"/>
                      <a:headEnd/>
                      <a:tailEnd/>
                    </a:ln>
                  </pic:spPr>
                </pic:pic>
              </a:graphicData>
            </a:graphic>
          </wp:inline>
        </w:drawing>
      </w:r>
    </w:p>
    <w:p w:rsidR="000A1A46" w:rsidRDefault="000A1A46" w:rsidP="00787B57">
      <w:pPr>
        <w:jc w:val="both"/>
        <w:rPr>
          <w:sz w:val="24"/>
          <w:szCs w:val="24"/>
          <w:lang w:val="ro-RO"/>
        </w:rPr>
      </w:pPr>
      <w:r w:rsidRPr="000A1A46">
        <w:rPr>
          <w:sz w:val="24"/>
          <w:szCs w:val="24"/>
          <w:lang w:val="ro-RO"/>
        </w:rPr>
        <w:t>In the case of all the</w:t>
      </w:r>
      <w:r w:rsidR="00401E52">
        <w:rPr>
          <w:sz w:val="24"/>
          <w:szCs w:val="24"/>
          <w:lang w:val="ro-RO"/>
        </w:rPr>
        <w:t xml:space="preserve"> above</w:t>
      </w:r>
      <w:r w:rsidRPr="000A1A46">
        <w:rPr>
          <w:sz w:val="24"/>
          <w:szCs w:val="24"/>
          <w:lang w:val="ro-RO"/>
        </w:rPr>
        <w:t xml:space="preserve"> mentioned counties, the industry and construction sectors were in terms of the average number of employees below the comparative level of 2019</w:t>
      </w:r>
      <w:r>
        <w:rPr>
          <w:sz w:val="24"/>
          <w:szCs w:val="24"/>
          <w:lang w:val="ro-RO"/>
        </w:rPr>
        <w:t>.</w:t>
      </w:r>
      <w:r w:rsidRPr="000A1A46">
        <w:t xml:space="preserve"> </w:t>
      </w:r>
      <w:r w:rsidRPr="000A1A46">
        <w:rPr>
          <w:sz w:val="24"/>
          <w:szCs w:val="24"/>
          <w:lang w:val="ro-RO"/>
        </w:rPr>
        <w:t>In addition, in Argeş and Caraş-Severin counties the average number of employees was lower than th</w:t>
      </w:r>
      <w:r>
        <w:rPr>
          <w:sz w:val="24"/>
          <w:szCs w:val="24"/>
          <w:lang w:val="ro-RO"/>
        </w:rPr>
        <w:t xml:space="preserve">e first </w:t>
      </w:r>
      <w:r>
        <w:rPr>
          <w:sz w:val="24"/>
          <w:szCs w:val="24"/>
          <w:lang w:val="ro-RO"/>
        </w:rPr>
        <w:lastRenderedPageBreak/>
        <w:t xml:space="preserve">nine months of 2019 also </w:t>
      </w:r>
      <w:r w:rsidRPr="000A1A46">
        <w:rPr>
          <w:sz w:val="24"/>
          <w:szCs w:val="24"/>
          <w:lang w:val="ro-RO"/>
        </w:rPr>
        <w:t xml:space="preserve">in the agriculture, forestry and fishing sector, most likely due to the reduction of timber exploitation in the context of </w:t>
      </w:r>
      <w:r w:rsidR="00CE59A8">
        <w:rPr>
          <w:sz w:val="24"/>
          <w:szCs w:val="24"/>
          <w:lang w:val="ro-RO"/>
        </w:rPr>
        <w:t xml:space="preserve">the </w:t>
      </w:r>
      <w:r w:rsidRPr="000A1A46">
        <w:rPr>
          <w:sz w:val="24"/>
          <w:szCs w:val="24"/>
          <w:lang w:val="ro-RO"/>
        </w:rPr>
        <w:t>rising raw material prices in 2021.</w:t>
      </w:r>
    </w:p>
    <w:p w:rsidR="00CE59A8" w:rsidRDefault="00CE59A8" w:rsidP="00787B57">
      <w:pPr>
        <w:jc w:val="both"/>
        <w:rPr>
          <w:sz w:val="24"/>
          <w:szCs w:val="24"/>
          <w:lang w:val="ro-RO"/>
        </w:rPr>
      </w:pPr>
      <w:r w:rsidRPr="00CE59A8">
        <w:rPr>
          <w:sz w:val="24"/>
          <w:szCs w:val="24"/>
          <w:lang w:val="ro-RO"/>
        </w:rPr>
        <w:t>In the case of Bra</w:t>
      </w:r>
      <w:r w:rsidR="00401E52">
        <w:rPr>
          <w:sz w:val="24"/>
          <w:szCs w:val="24"/>
          <w:lang w:val="ro-RO"/>
        </w:rPr>
        <w:t>ş</w:t>
      </w:r>
      <w:r w:rsidRPr="00CE59A8">
        <w:rPr>
          <w:sz w:val="24"/>
          <w:szCs w:val="24"/>
          <w:lang w:val="ro-RO"/>
        </w:rPr>
        <w:t xml:space="preserve">ov </w:t>
      </w:r>
      <w:r w:rsidR="006824BC">
        <w:rPr>
          <w:sz w:val="24"/>
          <w:szCs w:val="24"/>
          <w:lang w:val="ro-RO"/>
        </w:rPr>
        <w:t>County</w:t>
      </w:r>
      <w:r w:rsidRPr="00CE59A8">
        <w:rPr>
          <w:sz w:val="24"/>
          <w:szCs w:val="24"/>
          <w:lang w:val="ro-RO"/>
        </w:rPr>
        <w:t xml:space="preserve">, in addition to industry and construction, the services sector (available infra-annually in territorial profile only at the aggregate level) was below the similar level in 2019, due to the tourism sector which failed to fully recover </w:t>
      </w:r>
      <w:r w:rsidR="00434710">
        <w:rPr>
          <w:sz w:val="24"/>
          <w:szCs w:val="24"/>
          <w:lang w:val="ro-RO"/>
        </w:rPr>
        <w:t xml:space="preserve">his integral </w:t>
      </w:r>
      <w:r w:rsidRPr="00CE59A8">
        <w:rPr>
          <w:sz w:val="24"/>
          <w:szCs w:val="24"/>
          <w:lang w:val="ro-RO"/>
        </w:rPr>
        <w:t xml:space="preserve">decline in the </w:t>
      </w:r>
      <w:r w:rsidR="00434710">
        <w:rPr>
          <w:sz w:val="24"/>
          <w:szCs w:val="24"/>
          <w:lang w:val="ro-RO"/>
        </w:rPr>
        <w:t xml:space="preserve">debut </w:t>
      </w:r>
      <w:r w:rsidRPr="00CE59A8">
        <w:rPr>
          <w:sz w:val="24"/>
          <w:szCs w:val="24"/>
          <w:lang w:val="ro-RO"/>
        </w:rPr>
        <w:t>of the pandemic</w:t>
      </w:r>
      <w:r w:rsidR="00434710" w:rsidRPr="00434710">
        <w:rPr>
          <w:sz w:val="24"/>
          <w:szCs w:val="24"/>
          <w:lang w:val="ro-RO"/>
        </w:rPr>
        <w:t xml:space="preserve"> </w:t>
      </w:r>
      <w:r w:rsidR="00434710">
        <w:rPr>
          <w:sz w:val="24"/>
          <w:szCs w:val="24"/>
          <w:lang w:val="ro-RO"/>
        </w:rPr>
        <w:t>period</w:t>
      </w:r>
      <w:r w:rsidRPr="00CE59A8">
        <w:rPr>
          <w:sz w:val="24"/>
          <w:szCs w:val="24"/>
          <w:lang w:val="ro-RO"/>
        </w:rPr>
        <w:t>.</w:t>
      </w:r>
    </w:p>
    <w:p w:rsidR="00F92046" w:rsidRDefault="00F92046" w:rsidP="00066169">
      <w:pPr>
        <w:jc w:val="both"/>
        <w:rPr>
          <w:sz w:val="24"/>
          <w:szCs w:val="24"/>
          <w:lang w:val="ro-RO"/>
        </w:rPr>
      </w:pPr>
    </w:p>
    <w:p w:rsidR="00F92046" w:rsidRDefault="00B81192" w:rsidP="00066169">
      <w:pPr>
        <w:jc w:val="both"/>
        <w:rPr>
          <w:sz w:val="24"/>
          <w:szCs w:val="24"/>
          <w:lang w:val="ro-RO"/>
        </w:rPr>
      </w:pPr>
      <w:r w:rsidRPr="00B81192">
        <w:rPr>
          <w:sz w:val="24"/>
          <w:szCs w:val="24"/>
          <w:lang w:val="ro-RO"/>
        </w:rPr>
      </w:r>
      <w:r>
        <w:rPr>
          <w:sz w:val="24"/>
          <w:szCs w:val="24"/>
          <w:lang w:val="ro-RO"/>
        </w:rPr>
        <w:pict>
          <v:shapetype id="_x0000_t202" coordsize="21600,21600" o:spt="202" path="m,l,21600r21600,l21600,xe">
            <v:stroke joinstyle="miter"/>
            <v:path gradientshapeok="t" o:connecttype="rect"/>
          </v:shapetype>
          <v:shape id="_x0000_s1026" type="#_x0000_t202" style="width:497.35pt;height:552.7pt;mso-position-horizontal-relative:char;mso-position-vertical-relative:line" fillcolor="#c6d9f1">
            <v:textbox style="mso-next-textbox:#_x0000_s1026">
              <w:txbxContent>
                <w:p w:rsidR="004A2DE8" w:rsidRDefault="004A2DE8" w:rsidP="004A2DE8">
                  <w:pPr>
                    <w:jc w:val="center"/>
                    <w:rPr>
                      <w:b/>
                      <w:bCs/>
                      <w:sz w:val="20"/>
                      <w:szCs w:val="20"/>
                      <w:lang w:val="ro-RO"/>
                    </w:rPr>
                  </w:pPr>
                  <w:r w:rsidRPr="005A3D02">
                    <w:rPr>
                      <w:b/>
                      <w:bCs/>
                      <w:sz w:val="20"/>
                      <w:szCs w:val="20"/>
                      <w:lang w:val="ro-RO"/>
                    </w:rPr>
                    <w:t>The influence of GDP</w:t>
                  </w:r>
                  <w:r w:rsidR="000A0EE8">
                    <w:rPr>
                      <w:b/>
                      <w:bCs/>
                      <w:sz w:val="20"/>
                      <w:szCs w:val="20"/>
                      <w:lang w:val="ro-RO"/>
                    </w:rPr>
                    <w:t>/</w:t>
                  </w:r>
                  <w:r w:rsidRPr="005A3D02">
                    <w:rPr>
                      <w:b/>
                      <w:bCs/>
                      <w:sz w:val="20"/>
                      <w:szCs w:val="20"/>
                      <w:lang w:val="ro-RO"/>
                    </w:rPr>
                    <w:t>capita growth at the regional level on poverty reduction</w:t>
                  </w:r>
                </w:p>
                <w:p w:rsidR="004A2DE8" w:rsidRPr="00795291" w:rsidRDefault="004A2DE8" w:rsidP="004A2DE8">
                  <w:pPr>
                    <w:jc w:val="both"/>
                    <w:rPr>
                      <w:sz w:val="20"/>
                      <w:szCs w:val="20"/>
                      <w:lang w:val="ro-RO"/>
                    </w:rPr>
                  </w:pPr>
                  <w:r w:rsidRPr="005A3D02">
                    <w:rPr>
                      <w:sz w:val="20"/>
                      <w:szCs w:val="20"/>
                      <w:lang w:val="ro-RO"/>
                    </w:rPr>
                    <w:t>After joining the EU, Romania has embarked on an accelerated development trajectory, benefiting from: considerable non-reimbursable financial transfers, a free export market, improved access to reimbursable financing, as well as the possibility of plac</w:t>
                  </w:r>
                  <w:r w:rsidR="00E904A8">
                    <w:rPr>
                      <w:sz w:val="20"/>
                      <w:szCs w:val="20"/>
                      <w:lang w:val="ro-RO"/>
                    </w:rPr>
                    <w:t>ing</w:t>
                  </w:r>
                  <w:r>
                    <w:rPr>
                      <w:sz w:val="20"/>
                      <w:szCs w:val="20"/>
                      <w:lang w:val="ro-RO"/>
                    </w:rPr>
                    <w:t xml:space="preserve"> the excess labor within the EU witch </w:t>
                  </w:r>
                  <w:r w:rsidRPr="005A3D02">
                    <w:rPr>
                      <w:sz w:val="20"/>
                      <w:szCs w:val="20"/>
                      <w:lang w:val="ro-RO"/>
                    </w:rPr>
                    <w:t>generated a sustainable inflow of remittances with a positive impact on the external balance of payments.</w:t>
                  </w:r>
                </w:p>
                <w:p w:rsidR="004A2DE8" w:rsidRDefault="004A2DE8" w:rsidP="004A2DE8">
                  <w:pPr>
                    <w:jc w:val="both"/>
                    <w:rPr>
                      <w:sz w:val="20"/>
                      <w:szCs w:val="20"/>
                      <w:lang w:val="ro-RO"/>
                    </w:rPr>
                  </w:pPr>
                  <w:r w:rsidRPr="00F415B8">
                    <w:rPr>
                      <w:sz w:val="20"/>
                      <w:szCs w:val="20"/>
                      <w:lang w:val="ro-RO"/>
                    </w:rPr>
                    <w:t>All these favorable factors have caused Romania to quickly reduce its development gap compared to the EU average, reaching that in 2020 GDP/</w:t>
                  </w:r>
                  <w:r>
                    <w:rPr>
                      <w:sz w:val="20"/>
                      <w:szCs w:val="20"/>
                      <w:lang w:val="ro-RO"/>
                    </w:rPr>
                    <w:t xml:space="preserve">capita </w:t>
                  </w:r>
                  <w:r w:rsidRPr="00F415B8">
                    <w:rPr>
                      <w:sz w:val="20"/>
                      <w:szCs w:val="20"/>
                      <w:lang w:val="ro-RO"/>
                    </w:rPr>
                    <w:t xml:space="preserve"> expressed in PPS to represent 72% of the EU-27 average</w:t>
                  </w:r>
                  <w:r>
                    <w:rPr>
                      <w:sz w:val="20"/>
                      <w:szCs w:val="20"/>
                      <w:lang w:val="ro-RO"/>
                    </w:rPr>
                    <w:t>.</w:t>
                  </w:r>
                  <w:r w:rsidRPr="00F415B8">
                    <w:t xml:space="preserve"> </w:t>
                  </w:r>
                  <w:r w:rsidRPr="00F415B8">
                    <w:rPr>
                      <w:sz w:val="20"/>
                      <w:szCs w:val="20"/>
                      <w:lang w:val="ro-RO"/>
                    </w:rPr>
                    <w:t xml:space="preserve">While all development regions of the country have </w:t>
                  </w:r>
                  <w:r>
                    <w:rPr>
                      <w:sz w:val="20"/>
                      <w:szCs w:val="20"/>
                      <w:lang w:val="ro-RO"/>
                    </w:rPr>
                    <w:t>recorded</w:t>
                  </w:r>
                  <w:r w:rsidRPr="00F415B8">
                    <w:rPr>
                      <w:sz w:val="20"/>
                      <w:szCs w:val="20"/>
                      <w:lang w:val="ro-RO"/>
                    </w:rPr>
                    <w:t xml:space="preserve"> significant increases in GDP/capita (both in the PPS and in the national currency), </w:t>
                  </w:r>
                  <w:r>
                    <w:rPr>
                      <w:sz w:val="20"/>
                      <w:szCs w:val="20"/>
                      <w:lang w:val="ro-RO"/>
                    </w:rPr>
                    <w:t xml:space="preserve">the </w:t>
                  </w:r>
                  <w:r w:rsidRPr="00F415B8">
                    <w:rPr>
                      <w:sz w:val="20"/>
                      <w:szCs w:val="20"/>
                      <w:lang w:val="ro-RO"/>
                    </w:rPr>
                    <w:t xml:space="preserve">progress </w:t>
                  </w:r>
                  <w:r>
                    <w:rPr>
                      <w:sz w:val="20"/>
                      <w:szCs w:val="20"/>
                      <w:lang w:val="ro-RO"/>
                    </w:rPr>
                    <w:t xml:space="preserve">recorded </w:t>
                  </w:r>
                  <w:r w:rsidRPr="00F415B8">
                    <w:rPr>
                      <w:sz w:val="20"/>
                      <w:szCs w:val="20"/>
                      <w:lang w:val="ro-RO"/>
                    </w:rPr>
                    <w:t xml:space="preserve">in reducing poverty still depends on the initial conditions, </w:t>
                  </w:r>
                  <w:r w:rsidRPr="00442898">
                    <w:rPr>
                      <w:sz w:val="20"/>
                      <w:szCs w:val="20"/>
                      <w:lang w:val="ro-RO"/>
                    </w:rPr>
                    <w:t>respectively, the less developed regions remained poor despite the general development of the national economy.</w:t>
                  </w:r>
                </w:p>
                <w:p w:rsidR="004A2DE8" w:rsidRDefault="004A2DE8" w:rsidP="004A2DE8">
                  <w:pPr>
                    <w:jc w:val="both"/>
                    <w:rPr>
                      <w:sz w:val="20"/>
                      <w:szCs w:val="20"/>
                      <w:lang w:val="ro-RO"/>
                    </w:rPr>
                  </w:pPr>
                  <w:r w:rsidRPr="00E348EE">
                    <w:rPr>
                      <w:sz w:val="20"/>
                      <w:szCs w:val="20"/>
                      <w:lang w:val="ro-RO"/>
                    </w:rPr>
                    <w:t>If we analyze the evolution of the risk rate of poverty or social exclusion (AROPE)</w:t>
                  </w:r>
                  <w:r>
                    <w:rPr>
                      <w:b/>
                      <w:bCs/>
                      <w:sz w:val="20"/>
                      <w:szCs w:val="20"/>
                      <w:vertAlign w:val="superscript"/>
                      <w:lang w:val="ro-RO"/>
                    </w:rPr>
                    <w:t>1</w:t>
                  </w:r>
                  <w:r>
                    <w:rPr>
                      <w:sz w:val="20"/>
                      <w:szCs w:val="20"/>
                      <w:lang w:val="ro-RO"/>
                    </w:rPr>
                    <w:t>,</w:t>
                  </w:r>
                  <w:r w:rsidRPr="00E348EE">
                    <w:rPr>
                      <w:sz w:val="20"/>
                      <w:szCs w:val="20"/>
                      <w:lang w:val="ro-RO"/>
                    </w:rPr>
                    <w:t xml:space="preserve"> one of the most complex and comprehensive indicators in the field of living standards analysis in correlation with the share of GDP/</w:t>
                  </w:r>
                  <w:r>
                    <w:rPr>
                      <w:sz w:val="20"/>
                      <w:szCs w:val="20"/>
                      <w:lang w:val="ro-RO"/>
                    </w:rPr>
                    <w:t>capita</w:t>
                  </w:r>
                  <w:r w:rsidRPr="00E348EE">
                    <w:rPr>
                      <w:sz w:val="20"/>
                      <w:szCs w:val="20"/>
                      <w:lang w:val="ro-RO"/>
                    </w:rPr>
                    <w:t xml:space="preserve"> in the EU-27 average, it is observed that in 2010-2019 </w:t>
                  </w:r>
                  <w:r>
                    <w:rPr>
                      <w:sz w:val="20"/>
                      <w:szCs w:val="20"/>
                      <w:lang w:val="ro-RO"/>
                    </w:rPr>
                    <w:t xml:space="preserve">interval </w:t>
                  </w:r>
                  <w:r w:rsidR="00E904A8">
                    <w:rPr>
                      <w:sz w:val="20"/>
                      <w:szCs w:val="20"/>
                      <w:lang w:val="ro-RO"/>
                    </w:rPr>
                    <w:t>(</w:t>
                  </w:r>
                  <w:r w:rsidRPr="00E348EE">
                    <w:rPr>
                      <w:sz w:val="20"/>
                      <w:szCs w:val="20"/>
                      <w:lang w:val="ro-RO"/>
                    </w:rPr>
                    <w:t xml:space="preserve">at regional level GDP/capita in PPS is available only at the level of 2019) </w:t>
                  </w:r>
                  <w:r>
                    <w:rPr>
                      <w:sz w:val="20"/>
                      <w:szCs w:val="20"/>
                      <w:lang w:val="ro-RO"/>
                    </w:rPr>
                    <w:t>the West</w:t>
                  </w:r>
                  <w:r w:rsidRPr="00E348EE">
                    <w:rPr>
                      <w:sz w:val="20"/>
                      <w:szCs w:val="20"/>
                      <w:lang w:val="ro-RO"/>
                    </w:rPr>
                    <w:t xml:space="preserve"> region</w:t>
                  </w:r>
                  <w:r>
                    <w:rPr>
                      <w:sz w:val="20"/>
                      <w:szCs w:val="20"/>
                      <w:lang w:val="ro-RO"/>
                    </w:rPr>
                    <w:t>,</w:t>
                  </w:r>
                  <w:r w:rsidRPr="00E348EE">
                    <w:rPr>
                      <w:sz w:val="20"/>
                      <w:szCs w:val="20"/>
                      <w:lang w:val="ro-RO"/>
                    </w:rPr>
                    <w:t xml:space="preserve"> whose GDP / capita represents 71% of the EU average</w:t>
                  </w:r>
                  <w:r>
                    <w:rPr>
                      <w:sz w:val="20"/>
                      <w:szCs w:val="20"/>
                      <w:lang w:val="ro-RO"/>
                    </w:rPr>
                    <w:t>,</w:t>
                  </w:r>
                  <w:r w:rsidRPr="00E348EE">
                    <w:rPr>
                      <w:sz w:val="20"/>
                      <w:szCs w:val="20"/>
                      <w:lang w:val="ro-RO"/>
                    </w:rPr>
                    <w:t xml:space="preserve"> reduced its poverty rate by 1</w:t>
                  </w:r>
                  <w:r>
                    <w:rPr>
                      <w:sz w:val="20"/>
                      <w:szCs w:val="20"/>
                      <w:lang w:val="ro-RO"/>
                    </w:rPr>
                    <w:t xml:space="preserve">4.3 percentage points over time, while the </w:t>
                  </w:r>
                  <w:r w:rsidRPr="00E348EE">
                    <w:rPr>
                      <w:sz w:val="20"/>
                      <w:szCs w:val="20"/>
                      <w:lang w:val="ro-RO"/>
                    </w:rPr>
                    <w:t>North-East region (44 % of the EU average in 2019) has i</w:t>
                  </w:r>
                  <w:r>
                    <w:rPr>
                      <w:sz w:val="20"/>
                      <w:szCs w:val="20"/>
                      <w:lang w:val="ro-RO"/>
                    </w:rPr>
                    <w:t xml:space="preserve">mproved its </w:t>
                  </w:r>
                  <w:r w:rsidRPr="00E348EE">
                    <w:rPr>
                      <w:sz w:val="20"/>
                      <w:szCs w:val="20"/>
                      <w:lang w:val="ro-RO"/>
                    </w:rPr>
                    <w:t>-risk-of-poverty rate by just 5.3 percentage points.</w:t>
                  </w:r>
                </w:p>
                <w:p w:rsidR="004A2DE8" w:rsidRPr="00795291" w:rsidRDefault="004A2DE8" w:rsidP="004A2DE8">
                  <w:pPr>
                    <w:jc w:val="center"/>
                    <w:rPr>
                      <w:sz w:val="20"/>
                      <w:szCs w:val="20"/>
                      <w:lang w:val="ro-RO"/>
                    </w:rPr>
                  </w:pPr>
                  <w:r w:rsidRPr="00834EFF">
                    <w:rPr>
                      <w:noProof/>
                      <w:sz w:val="20"/>
                      <w:szCs w:val="20"/>
                    </w:rPr>
                    <w:drawing>
                      <wp:inline distT="0" distB="0" distL="0" distR="0">
                        <wp:extent cx="4433680" cy="2218414"/>
                        <wp:effectExtent l="19050" t="0" r="2402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2DE8" w:rsidRDefault="004A2DE8" w:rsidP="004A2DE8">
                  <w:pPr>
                    <w:jc w:val="both"/>
                    <w:rPr>
                      <w:sz w:val="20"/>
                      <w:szCs w:val="20"/>
                      <w:lang w:val="ro-RO"/>
                    </w:rPr>
                  </w:pPr>
                  <w:r w:rsidRPr="006477A1">
                    <w:rPr>
                      <w:sz w:val="20"/>
                      <w:szCs w:val="20"/>
                      <w:lang w:val="ro-RO"/>
                    </w:rPr>
                    <w:t>In the period 2010-2019, the GDP per capita in the PPS increased by 29.1% in the West region, while in the North-East region the progress was significantly faster, respectively an increase of 46.7%.</w:t>
                  </w:r>
                </w:p>
                <w:p w:rsidR="004A2DE8" w:rsidRDefault="004A2DE8" w:rsidP="004A2DE8">
                  <w:pPr>
                    <w:jc w:val="both"/>
                    <w:rPr>
                      <w:sz w:val="20"/>
                      <w:szCs w:val="20"/>
                      <w:lang w:val="ro-RO"/>
                    </w:rPr>
                  </w:pPr>
                  <w:r w:rsidRPr="006477A1">
                    <w:rPr>
                      <w:sz w:val="20"/>
                      <w:szCs w:val="20"/>
                      <w:lang w:val="ro-RO"/>
                    </w:rPr>
                    <w:t>A more comprehensive analysis of economic convergence and living standards will be the subject of a separate paper.</w:t>
                  </w:r>
                </w:p>
                <w:p w:rsidR="004A2DE8" w:rsidRPr="008A2BC1" w:rsidRDefault="004A2DE8" w:rsidP="004A2DE8">
                  <w:pPr>
                    <w:jc w:val="both"/>
                    <w:rPr>
                      <w:sz w:val="16"/>
                      <w:szCs w:val="16"/>
                      <w:lang w:val="ro-RO"/>
                    </w:rPr>
                  </w:pPr>
                  <w:r w:rsidRPr="008A2BC1">
                    <w:rPr>
                      <w:sz w:val="16"/>
                      <w:szCs w:val="16"/>
                      <w:vertAlign w:val="superscript"/>
                      <w:lang w:val="ro-RO"/>
                    </w:rPr>
                    <w:t xml:space="preserve">1 </w:t>
                  </w:r>
                  <w:r w:rsidRPr="006477A1">
                    <w:rPr>
                      <w:sz w:val="16"/>
                      <w:szCs w:val="16"/>
                      <w:lang w:val="ro-RO"/>
                    </w:rPr>
                    <w:t>A person is at risk of poverty or social exclusion if he or she is in at least one of the following situations: (i) is below the poverty line (60% of median disposable income per adult-equivalent); (ii) is in a state of severe material deprivation; (iii) lives in a very labor-intensive household.</w:t>
                  </w:r>
                </w:p>
              </w:txbxContent>
            </v:textbox>
            <w10:wrap type="none"/>
            <w10:anchorlock/>
          </v:shape>
        </w:pict>
      </w:r>
    </w:p>
    <w:p w:rsidR="00F92046" w:rsidRDefault="00F92046" w:rsidP="00066169">
      <w:pPr>
        <w:jc w:val="both"/>
        <w:rPr>
          <w:sz w:val="24"/>
          <w:szCs w:val="24"/>
          <w:lang w:val="ro-RO"/>
        </w:rPr>
      </w:pPr>
    </w:p>
    <w:p w:rsidR="00F92046" w:rsidRDefault="00F92046" w:rsidP="00066169">
      <w:pPr>
        <w:jc w:val="both"/>
        <w:rPr>
          <w:sz w:val="24"/>
          <w:szCs w:val="24"/>
          <w:lang w:val="ro-RO"/>
        </w:rPr>
      </w:pPr>
    </w:p>
    <w:p w:rsidR="002716BA" w:rsidRPr="003126E1" w:rsidRDefault="002716BA" w:rsidP="008F09FC">
      <w:pPr>
        <w:jc w:val="both"/>
        <w:rPr>
          <w:b/>
          <w:bCs/>
          <w:sz w:val="24"/>
          <w:szCs w:val="24"/>
          <w:lang w:val="ro-RO"/>
        </w:rPr>
      </w:pPr>
      <w:r w:rsidRPr="002716BA">
        <w:rPr>
          <w:b/>
          <w:bCs/>
          <w:sz w:val="24"/>
          <w:szCs w:val="24"/>
          <w:lang w:val="ro-RO"/>
        </w:rPr>
        <w:lastRenderedPageBreak/>
        <w:t>Economic perspectives</w:t>
      </w:r>
    </w:p>
    <w:p w:rsidR="00165F8E" w:rsidRDefault="00165F8E" w:rsidP="00165F8E">
      <w:pPr>
        <w:pStyle w:val="ListParagraph"/>
        <w:spacing w:after="120" w:line="240" w:lineRule="auto"/>
        <w:ind w:left="0"/>
        <w:jc w:val="both"/>
        <w:rPr>
          <w:sz w:val="24"/>
          <w:szCs w:val="24"/>
          <w:lang w:val="ro-RO"/>
        </w:rPr>
      </w:pPr>
      <w:r w:rsidRPr="00165F8E">
        <w:rPr>
          <w:sz w:val="24"/>
          <w:szCs w:val="24"/>
          <w:lang w:val="ro-RO"/>
        </w:rPr>
        <w:t>The forecast of the main macroeconomic indicators in the medium-term territorial profile was made taking into account the following hypotheses</w:t>
      </w:r>
      <w:r w:rsidR="00401E52">
        <w:rPr>
          <w:sz w:val="24"/>
          <w:szCs w:val="24"/>
          <w:lang w:val="ro-RO"/>
        </w:rPr>
        <w:t>:</w:t>
      </w:r>
    </w:p>
    <w:p w:rsidR="00165F8E" w:rsidRDefault="00165F8E" w:rsidP="00165F8E">
      <w:pPr>
        <w:pStyle w:val="ListParagraph"/>
        <w:numPr>
          <w:ilvl w:val="0"/>
          <w:numId w:val="5"/>
        </w:numPr>
        <w:spacing w:after="120" w:line="240" w:lineRule="auto"/>
        <w:jc w:val="both"/>
        <w:rPr>
          <w:sz w:val="24"/>
          <w:szCs w:val="24"/>
          <w:lang w:val="ro-RO"/>
        </w:rPr>
      </w:pPr>
      <w:r w:rsidRPr="00165F8E">
        <w:rPr>
          <w:sz w:val="24"/>
          <w:szCs w:val="24"/>
          <w:lang w:val="ro-RO"/>
        </w:rPr>
        <w:t>Forecast of the main national macroeconomic indicators 2021-2025 (</w:t>
      </w:r>
      <w:r w:rsidR="00401E52">
        <w:rPr>
          <w:sz w:val="24"/>
          <w:szCs w:val="24"/>
          <w:lang w:val="ro-RO"/>
        </w:rPr>
        <w:t>A</w:t>
      </w:r>
      <w:r w:rsidRPr="00165F8E">
        <w:rPr>
          <w:sz w:val="24"/>
          <w:szCs w:val="24"/>
          <w:lang w:val="ro-RO"/>
        </w:rPr>
        <w:t>utumn edition 2021);</w:t>
      </w:r>
    </w:p>
    <w:p w:rsidR="00165F8E" w:rsidRDefault="00165F8E" w:rsidP="00165F8E">
      <w:pPr>
        <w:pStyle w:val="ListParagraph"/>
        <w:numPr>
          <w:ilvl w:val="0"/>
          <w:numId w:val="5"/>
        </w:numPr>
        <w:spacing w:after="120" w:line="240" w:lineRule="auto"/>
        <w:jc w:val="both"/>
        <w:rPr>
          <w:sz w:val="24"/>
          <w:szCs w:val="24"/>
          <w:lang w:val="ro-RO"/>
        </w:rPr>
      </w:pPr>
      <w:r w:rsidRPr="00165F8E">
        <w:rPr>
          <w:sz w:val="24"/>
          <w:szCs w:val="24"/>
          <w:lang w:val="ro-RO"/>
        </w:rPr>
        <w:t>Macroeconomic developments at national and territorial level in 2021 characterized by the continuation of the COVID-19 pandemic, but at a significantly attenuated level compared to the 2020 peaks, as well as by the economic recovery;</w:t>
      </w:r>
    </w:p>
    <w:p w:rsidR="00165F8E" w:rsidRDefault="00165F8E" w:rsidP="00165F8E">
      <w:pPr>
        <w:pStyle w:val="ListParagraph"/>
        <w:numPr>
          <w:ilvl w:val="0"/>
          <w:numId w:val="5"/>
        </w:numPr>
        <w:spacing w:after="120" w:line="240" w:lineRule="auto"/>
        <w:jc w:val="both"/>
        <w:rPr>
          <w:sz w:val="24"/>
          <w:szCs w:val="24"/>
          <w:lang w:val="ro-RO"/>
        </w:rPr>
      </w:pPr>
      <w:r w:rsidRPr="00165F8E">
        <w:rPr>
          <w:sz w:val="24"/>
          <w:szCs w:val="24"/>
          <w:lang w:val="ro-RO"/>
        </w:rPr>
        <w:t>Implementation of the investments provided in the National Recovery and Resilience Plan;</w:t>
      </w:r>
    </w:p>
    <w:p w:rsidR="002D6A10" w:rsidRDefault="002D6A10" w:rsidP="00165F8E">
      <w:pPr>
        <w:pStyle w:val="ListParagraph"/>
        <w:numPr>
          <w:ilvl w:val="0"/>
          <w:numId w:val="5"/>
        </w:numPr>
        <w:spacing w:after="120" w:line="240" w:lineRule="auto"/>
        <w:jc w:val="both"/>
        <w:rPr>
          <w:sz w:val="24"/>
          <w:szCs w:val="24"/>
          <w:lang w:val="ro-RO"/>
        </w:rPr>
      </w:pPr>
      <w:r w:rsidRPr="002D6A10">
        <w:rPr>
          <w:sz w:val="24"/>
          <w:szCs w:val="24"/>
          <w:lang w:val="ro-RO"/>
        </w:rPr>
        <w:t>Investments and other interventions</w:t>
      </w:r>
      <w:r>
        <w:rPr>
          <w:sz w:val="24"/>
          <w:szCs w:val="24"/>
          <w:lang w:val="ro-RO"/>
        </w:rPr>
        <w:t xml:space="preserve"> within</w:t>
      </w:r>
      <w:r w:rsidRPr="002D6A10">
        <w:rPr>
          <w:sz w:val="24"/>
          <w:szCs w:val="24"/>
          <w:lang w:val="ro-RO"/>
        </w:rPr>
        <w:t xml:space="preserve"> the Multiannual Financial Framework 2021-2027 which contribute to reducing </w:t>
      </w:r>
      <w:r>
        <w:rPr>
          <w:sz w:val="24"/>
          <w:szCs w:val="24"/>
          <w:lang w:val="ro-RO"/>
        </w:rPr>
        <w:t xml:space="preserve">the </w:t>
      </w:r>
      <w:r w:rsidRPr="002D6A10">
        <w:rPr>
          <w:sz w:val="24"/>
          <w:szCs w:val="24"/>
          <w:lang w:val="ro-RO"/>
        </w:rPr>
        <w:t>regional disparities, mainly in terms of GDP/capita;</w:t>
      </w:r>
    </w:p>
    <w:p w:rsidR="00F92046" w:rsidRPr="00E80F28" w:rsidRDefault="00EA356A" w:rsidP="00E8432C">
      <w:pPr>
        <w:pStyle w:val="ListParagraph"/>
        <w:numPr>
          <w:ilvl w:val="0"/>
          <w:numId w:val="5"/>
        </w:numPr>
        <w:spacing w:after="120" w:line="240" w:lineRule="auto"/>
        <w:jc w:val="both"/>
        <w:rPr>
          <w:sz w:val="24"/>
          <w:szCs w:val="24"/>
          <w:lang w:val="ro-RO"/>
        </w:rPr>
      </w:pPr>
      <w:r w:rsidRPr="00EA356A">
        <w:rPr>
          <w:sz w:val="24"/>
          <w:szCs w:val="24"/>
          <w:lang w:val="ro-RO"/>
        </w:rPr>
        <w:t>Short and medium term risks.</w:t>
      </w:r>
    </w:p>
    <w:p w:rsidR="00947F6E" w:rsidRDefault="00947F6E" w:rsidP="00E8432C">
      <w:pPr>
        <w:spacing w:after="120"/>
        <w:jc w:val="both"/>
        <w:rPr>
          <w:sz w:val="24"/>
          <w:szCs w:val="24"/>
          <w:lang w:val="ro-RO"/>
        </w:rPr>
      </w:pPr>
      <w:r w:rsidRPr="00947F6E">
        <w:rPr>
          <w:sz w:val="24"/>
          <w:szCs w:val="24"/>
          <w:lang w:val="ro-RO"/>
        </w:rPr>
        <w:t xml:space="preserve">Within </w:t>
      </w:r>
      <w:r w:rsidRPr="00157EA9">
        <w:rPr>
          <w:b/>
          <w:sz w:val="24"/>
          <w:szCs w:val="24"/>
          <w:lang w:val="ro-RO"/>
        </w:rPr>
        <w:t>the macroeconomic forecast at national level</w:t>
      </w:r>
      <w:r w:rsidRPr="00947F6E">
        <w:rPr>
          <w:sz w:val="24"/>
          <w:szCs w:val="24"/>
          <w:lang w:val="ro-RO"/>
        </w:rPr>
        <w:t xml:space="preserve">, for the year 2022 an economic growth of 4.6% was estimated, </w:t>
      </w:r>
      <w:r>
        <w:rPr>
          <w:sz w:val="24"/>
          <w:szCs w:val="24"/>
          <w:lang w:val="ro-RO"/>
        </w:rPr>
        <w:t>w</w:t>
      </w:r>
      <w:r w:rsidR="00401E52">
        <w:rPr>
          <w:sz w:val="24"/>
          <w:szCs w:val="24"/>
          <w:lang w:val="ro-RO"/>
        </w:rPr>
        <w:t>h</w:t>
      </w:r>
      <w:r>
        <w:rPr>
          <w:sz w:val="24"/>
          <w:szCs w:val="24"/>
          <w:lang w:val="ro-RO"/>
        </w:rPr>
        <w:t>ich</w:t>
      </w:r>
      <w:r w:rsidR="00401E52">
        <w:rPr>
          <w:sz w:val="24"/>
          <w:szCs w:val="24"/>
          <w:lang w:val="ro-RO"/>
        </w:rPr>
        <w:t xml:space="preserve"> is fuelled</w:t>
      </w:r>
      <w:r>
        <w:rPr>
          <w:sz w:val="24"/>
          <w:szCs w:val="24"/>
          <w:lang w:val="ro-RO"/>
        </w:rPr>
        <w:t xml:space="preserve"> </w:t>
      </w:r>
      <w:r w:rsidRPr="00947F6E">
        <w:rPr>
          <w:sz w:val="24"/>
          <w:szCs w:val="24"/>
          <w:lang w:val="ro-RO"/>
        </w:rPr>
        <w:t>on the supply side mainly by the construction sector.</w:t>
      </w:r>
    </w:p>
    <w:p w:rsidR="00FF578A" w:rsidRDefault="00FF578A" w:rsidP="00E8432C">
      <w:pPr>
        <w:spacing w:after="120"/>
        <w:jc w:val="both"/>
        <w:rPr>
          <w:sz w:val="24"/>
          <w:szCs w:val="24"/>
          <w:lang w:val="ro-RO"/>
        </w:rPr>
      </w:pPr>
      <w:r w:rsidRPr="00FF578A">
        <w:rPr>
          <w:sz w:val="24"/>
          <w:szCs w:val="24"/>
          <w:lang w:val="ro-RO"/>
        </w:rPr>
        <w:t>In the period 2022 - 2025, the gross domestic product will advance annually on average by 4.9%, the economic model being based on an acceleration of investments in the conditions of a better absorption of funds from PNRR and from the multi-annual financial framework 2021-2027</w:t>
      </w:r>
      <w:r>
        <w:rPr>
          <w:sz w:val="24"/>
          <w:szCs w:val="24"/>
          <w:lang w:val="ro-RO"/>
        </w:rPr>
        <w:t>.</w:t>
      </w:r>
      <w:r w:rsidR="00CE5020" w:rsidRPr="00CE5020">
        <w:t xml:space="preserve"> </w:t>
      </w:r>
      <w:r w:rsidR="00CE5020" w:rsidRPr="00CE5020">
        <w:rPr>
          <w:sz w:val="24"/>
          <w:szCs w:val="24"/>
          <w:lang w:val="ro-RO"/>
        </w:rPr>
        <w:t>On the supply side, the most dynamic sector will be construction, for which is expected an average annual increase in gross value added of 9.2%.</w:t>
      </w:r>
      <w:r w:rsidR="00815145" w:rsidRPr="00815145">
        <w:t xml:space="preserve"> </w:t>
      </w:r>
      <w:r w:rsidR="00815145" w:rsidRPr="00815145">
        <w:rPr>
          <w:sz w:val="24"/>
          <w:szCs w:val="24"/>
          <w:lang w:val="ro-RO"/>
        </w:rPr>
        <w:t xml:space="preserve">For the tertiary sector </w:t>
      </w:r>
      <w:r w:rsidR="00401E52">
        <w:rPr>
          <w:sz w:val="24"/>
          <w:szCs w:val="24"/>
          <w:lang w:val="ro-RO"/>
        </w:rPr>
        <w:t xml:space="preserve">it </w:t>
      </w:r>
      <w:r w:rsidR="00815145" w:rsidRPr="00815145">
        <w:rPr>
          <w:sz w:val="24"/>
          <w:szCs w:val="24"/>
          <w:lang w:val="ro-RO"/>
        </w:rPr>
        <w:t xml:space="preserve">is estimated an average annual increase of 4.5%, the </w:t>
      </w:r>
      <w:r w:rsidR="00815145">
        <w:rPr>
          <w:sz w:val="24"/>
          <w:szCs w:val="24"/>
          <w:lang w:val="ro-RO"/>
        </w:rPr>
        <w:t>focus</w:t>
      </w:r>
      <w:r w:rsidR="00815145" w:rsidRPr="00815145">
        <w:rPr>
          <w:sz w:val="24"/>
          <w:szCs w:val="24"/>
          <w:lang w:val="ro-RO"/>
        </w:rPr>
        <w:t xml:space="preserve"> being </w:t>
      </w:r>
      <w:r w:rsidR="00815145">
        <w:rPr>
          <w:sz w:val="24"/>
          <w:szCs w:val="24"/>
          <w:lang w:val="ro-RO"/>
        </w:rPr>
        <w:t>put on</w:t>
      </w:r>
      <w:r w:rsidR="00815145" w:rsidRPr="00815145">
        <w:rPr>
          <w:sz w:val="24"/>
          <w:szCs w:val="24"/>
          <w:lang w:val="ro-RO"/>
        </w:rPr>
        <w:t xml:space="preserve"> the development of modern services (IT, business services, etc.), and</w:t>
      </w:r>
      <w:r w:rsidR="00401E52">
        <w:rPr>
          <w:sz w:val="24"/>
          <w:szCs w:val="24"/>
          <w:lang w:val="ro-RO"/>
        </w:rPr>
        <w:t>,</w:t>
      </w:r>
      <w:r w:rsidR="00815145" w:rsidRPr="00815145">
        <w:rPr>
          <w:sz w:val="24"/>
          <w:szCs w:val="24"/>
          <w:lang w:val="ro-RO"/>
        </w:rPr>
        <w:t xml:space="preserve"> in this field</w:t>
      </w:r>
      <w:r w:rsidR="00401E52">
        <w:rPr>
          <w:sz w:val="24"/>
          <w:szCs w:val="24"/>
          <w:lang w:val="ro-RO"/>
        </w:rPr>
        <w:t>,</w:t>
      </w:r>
      <w:r w:rsidR="00815145" w:rsidRPr="00815145">
        <w:rPr>
          <w:sz w:val="24"/>
          <w:szCs w:val="24"/>
          <w:lang w:val="ro-RO"/>
        </w:rPr>
        <w:t xml:space="preserve"> the attraction of PNRR funds contributing to a sustained evolution.</w:t>
      </w:r>
      <w:r w:rsidR="00421D8F" w:rsidRPr="00421D8F">
        <w:t xml:space="preserve"> </w:t>
      </w:r>
      <w:r w:rsidR="00421D8F" w:rsidRPr="00421D8F">
        <w:rPr>
          <w:sz w:val="24"/>
          <w:szCs w:val="24"/>
          <w:lang w:val="ro-RO"/>
        </w:rPr>
        <w:t>Regarding the industrial sector, the annual</w:t>
      </w:r>
      <w:r w:rsidR="00401E52">
        <w:rPr>
          <w:sz w:val="24"/>
          <w:szCs w:val="24"/>
          <w:lang w:val="ro-RO"/>
        </w:rPr>
        <w:t xml:space="preserve"> average</w:t>
      </w:r>
      <w:r w:rsidR="00421D8F" w:rsidRPr="00421D8F">
        <w:rPr>
          <w:sz w:val="24"/>
          <w:szCs w:val="24"/>
          <w:lang w:val="ro-RO"/>
        </w:rPr>
        <w:t xml:space="preserve"> growth rate is estimated at 4.7%, with mainly the development of the branches with advanced technologies and increased contribution of gross added value.</w:t>
      </w:r>
    </w:p>
    <w:p w:rsidR="009531B1" w:rsidRPr="003126E1" w:rsidRDefault="00B862CC" w:rsidP="00E8432C">
      <w:pPr>
        <w:spacing w:after="120"/>
        <w:jc w:val="both"/>
        <w:rPr>
          <w:sz w:val="24"/>
          <w:szCs w:val="24"/>
          <w:lang w:val="ro-RO"/>
        </w:rPr>
      </w:pPr>
      <w:r w:rsidRPr="00B862CC">
        <w:rPr>
          <w:sz w:val="24"/>
          <w:szCs w:val="24"/>
          <w:lang w:val="ro-RO"/>
        </w:rPr>
        <w:t xml:space="preserve">The main identified </w:t>
      </w:r>
      <w:r w:rsidR="00673BC0" w:rsidRPr="00673BC0">
        <w:rPr>
          <w:b/>
          <w:sz w:val="24"/>
          <w:szCs w:val="24"/>
          <w:lang w:val="ro-RO"/>
        </w:rPr>
        <w:t>risks</w:t>
      </w:r>
      <w:r w:rsidRPr="00B862CC">
        <w:rPr>
          <w:sz w:val="24"/>
          <w:szCs w:val="24"/>
          <w:lang w:val="ro-RO"/>
        </w:rPr>
        <w:t xml:space="preserve"> are related, first of all, to the evolution of the health situation both at national and international level.</w:t>
      </w:r>
      <w:r w:rsidR="009531B1" w:rsidRPr="009531B1">
        <w:t xml:space="preserve"> </w:t>
      </w:r>
      <w:r w:rsidR="009531B1" w:rsidRPr="009531B1">
        <w:rPr>
          <w:sz w:val="24"/>
          <w:szCs w:val="24"/>
          <w:lang w:val="ro-RO"/>
        </w:rPr>
        <w:t xml:space="preserve">Thus, the possibility of new strains of </w:t>
      </w:r>
      <w:r w:rsidR="009531B1" w:rsidRPr="003126E1">
        <w:rPr>
          <w:sz w:val="24"/>
          <w:szCs w:val="24"/>
          <w:lang w:val="ro-RO"/>
        </w:rPr>
        <w:t>SARS COV 2</w:t>
      </w:r>
      <w:r w:rsidR="009531B1">
        <w:rPr>
          <w:sz w:val="24"/>
          <w:szCs w:val="24"/>
          <w:lang w:val="ro-RO"/>
        </w:rPr>
        <w:t xml:space="preserve"> </w:t>
      </w:r>
      <w:r w:rsidR="009531B1" w:rsidRPr="009531B1">
        <w:rPr>
          <w:sz w:val="24"/>
          <w:szCs w:val="24"/>
          <w:lang w:val="ro-RO"/>
        </w:rPr>
        <w:t>virus is an element of uncertainty for both 2022 and beyond.</w:t>
      </w:r>
      <w:r w:rsidR="00160C77" w:rsidRPr="00160C77">
        <w:t xml:space="preserve"> </w:t>
      </w:r>
      <w:r w:rsidR="00160C77" w:rsidRPr="00160C77">
        <w:rPr>
          <w:sz w:val="24"/>
          <w:szCs w:val="24"/>
          <w:lang w:val="ro-RO"/>
        </w:rPr>
        <w:t xml:space="preserve">Secondly, the maintenance of a low vaccination rate among </w:t>
      </w:r>
      <w:r w:rsidR="00160C77">
        <w:rPr>
          <w:sz w:val="24"/>
          <w:szCs w:val="24"/>
          <w:lang w:val="ro-RO"/>
        </w:rPr>
        <w:t>to t</w:t>
      </w:r>
      <w:r w:rsidR="00160C77" w:rsidRPr="00160C77">
        <w:rPr>
          <w:sz w:val="24"/>
          <w:szCs w:val="24"/>
          <w:lang w:val="ro-RO"/>
        </w:rPr>
        <w:t xml:space="preserve">he population has the potential effect of a vulnerability to </w:t>
      </w:r>
      <w:r w:rsidR="00160C77">
        <w:rPr>
          <w:sz w:val="24"/>
          <w:szCs w:val="24"/>
          <w:lang w:val="ro-RO"/>
        </w:rPr>
        <w:t xml:space="preserve">the </w:t>
      </w:r>
      <w:r w:rsidR="00160C77" w:rsidRPr="00160C77">
        <w:rPr>
          <w:sz w:val="24"/>
          <w:szCs w:val="24"/>
          <w:lang w:val="ro-RO"/>
        </w:rPr>
        <w:t xml:space="preserve">economic activity, especially during </w:t>
      </w:r>
      <w:r w:rsidR="00160C77">
        <w:rPr>
          <w:sz w:val="24"/>
          <w:szCs w:val="24"/>
          <w:lang w:val="ro-RO"/>
        </w:rPr>
        <w:t xml:space="preserve">the </w:t>
      </w:r>
      <w:r w:rsidR="00160C77" w:rsidRPr="00160C77">
        <w:rPr>
          <w:sz w:val="24"/>
          <w:szCs w:val="24"/>
          <w:lang w:val="ro-RO"/>
        </w:rPr>
        <w:t>periods of time when pandemic waves are aggressive.</w:t>
      </w:r>
      <w:r w:rsidR="00930347" w:rsidRPr="00930347">
        <w:t xml:space="preserve"> </w:t>
      </w:r>
      <w:r w:rsidR="00930347" w:rsidRPr="00930347">
        <w:rPr>
          <w:sz w:val="24"/>
          <w:szCs w:val="24"/>
          <w:lang w:val="ro-RO"/>
        </w:rPr>
        <w:t>The materialization of these risks will significantly more affect the economic results in the counties with an important activity in tourism and adjacent services.</w:t>
      </w:r>
    </w:p>
    <w:p w:rsidR="00DC66ED" w:rsidRPr="00CD7558" w:rsidRDefault="00DC66ED" w:rsidP="00E8432C">
      <w:pPr>
        <w:spacing w:after="120"/>
        <w:jc w:val="both"/>
        <w:rPr>
          <w:sz w:val="24"/>
          <w:szCs w:val="24"/>
          <w:lang w:val="ro-RO"/>
        </w:rPr>
      </w:pPr>
      <w:r w:rsidRPr="00CD7558">
        <w:rPr>
          <w:sz w:val="24"/>
          <w:szCs w:val="24"/>
          <w:lang w:val="ro-RO"/>
        </w:rPr>
        <w:t xml:space="preserve">The unfavorable evolution of energy and raw material prices could significantly affect the counties with a significant share of industry, especially those with energy-intensive production </w:t>
      </w:r>
      <w:r w:rsidRPr="00CD7558">
        <w:rPr>
          <w:sz w:val="24"/>
          <w:szCs w:val="24"/>
          <w:lang w:val="ro-RO"/>
        </w:rPr>
        <w:lastRenderedPageBreak/>
        <w:t>capacities (metallurgy, chemical industry), as well as those where the construction sector occupies an important place in the economic structure.</w:t>
      </w:r>
    </w:p>
    <w:p w:rsidR="00880B7B" w:rsidRPr="00C80D5A" w:rsidRDefault="004A4B97" w:rsidP="00E8432C">
      <w:pPr>
        <w:spacing w:after="120"/>
        <w:jc w:val="both"/>
        <w:rPr>
          <w:sz w:val="24"/>
          <w:szCs w:val="24"/>
          <w:lang w:val="ro-RO"/>
        </w:rPr>
      </w:pPr>
      <w:r>
        <w:rPr>
          <w:sz w:val="24"/>
          <w:szCs w:val="24"/>
          <w:lang w:val="ro-RO"/>
        </w:rPr>
        <w:t>To</w:t>
      </w:r>
      <w:r w:rsidRPr="00880B7B">
        <w:rPr>
          <w:sz w:val="24"/>
          <w:szCs w:val="24"/>
          <w:lang w:val="ro-RO"/>
        </w:rPr>
        <w:t xml:space="preserve"> a lesser extent in terms of the impact on GDP</w:t>
      </w:r>
      <w:r>
        <w:rPr>
          <w:sz w:val="24"/>
          <w:szCs w:val="24"/>
          <w:lang w:val="ro-RO"/>
        </w:rPr>
        <w:t>, s</w:t>
      </w:r>
      <w:r w:rsidR="00880B7B" w:rsidRPr="00880B7B">
        <w:rPr>
          <w:sz w:val="24"/>
          <w:szCs w:val="24"/>
          <w:lang w:val="ro-RO"/>
        </w:rPr>
        <w:t>tarting with 2023, the probability of materializing the risk of unfavorable weather conditions in agriculture increases, taking into account the multi-annual alternation pattern of agricultural years.</w:t>
      </w:r>
      <w:r w:rsidR="000F4E45" w:rsidRPr="000F4E45">
        <w:t xml:space="preserve"> </w:t>
      </w:r>
      <w:r w:rsidR="000F4E45" w:rsidRPr="000F4E45">
        <w:rPr>
          <w:sz w:val="24"/>
          <w:szCs w:val="24"/>
          <w:lang w:val="ro-RO"/>
        </w:rPr>
        <w:t xml:space="preserve">The most exposed counties to this risk are mainly those with a developed </w:t>
      </w:r>
      <w:r w:rsidR="000F4E45">
        <w:rPr>
          <w:sz w:val="24"/>
          <w:szCs w:val="24"/>
          <w:lang w:val="ro-RO"/>
        </w:rPr>
        <w:t>vegetable</w:t>
      </w:r>
      <w:r w:rsidR="000F4E45" w:rsidRPr="000F4E45">
        <w:rPr>
          <w:sz w:val="24"/>
          <w:szCs w:val="24"/>
          <w:lang w:val="ro-RO"/>
        </w:rPr>
        <w:t xml:space="preserve"> agricultural sector in the south and west of Romania.</w:t>
      </w:r>
    </w:p>
    <w:p w:rsidR="00BB2176" w:rsidRDefault="00BB37FB" w:rsidP="00C868FE">
      <w:pPr>
        <w:spacing w:after="120"/>
        <w:jc w:val="both"/>
        <w:rPr>
          <w:sz w:val="24"/>
          <w:szCs w:val="24"/>
          <w:lang w:val="ro-RO"/>
        </w:rPr>
      </w:pPr>
      <w:r w:rsidRPr="00BB37FB">
        <w:rPr>
          <w:sz w:val="24"/>
          <w:szCs w:val="24"/>
          <w:lang w:val="ro-RO"/>
        </w:rPr>
        <w:t>From the perspec</w:t>
      </w:r>
      <w:r w:rsidR="001D5767">
        <w:rPr>
          <w:sz w:val="24"/>
          <w:szCs w:val="24"/>
          <w:lang w:val="ro-RO"/>
        </w:rPr>
        <w:t>tive of regional</w:t>
      </w:r>
      <w:r w:rsidRPr="00BB37FB">
        <w:rPr>
          <w:sz w:val="24"/>
          <w:szCs w:val="24"/>
          <w:lang w:val="ro-RO"/>
        </w:rPr>
        <w:t xml:space="preserve"> GDP per capita convergence, this process continues for most less developed regions (South-East and South Muntenia), while in the case of the North-East and South-West Oltenia</w:t>
      </w:r>
      <w:r>
        <w:rPr>
          <w:sz w:val="24"/>
          <w:szCs w:val="24"/>
          <w:lang w:val="ro-RO"/>
        </w:rPr>
        <w:t xml:space="preserve"> regions </w:t>
      </w:r>
      <w:r w:rsidRPr="00BB37FB">
        <w:rPr>
          <w:sz w:val="24"/>
          <w:szCs w:val="24"/>
          <w:lang w:val="ro-RO"/>
        </w:rPr>
        <w:t xml:space="preserve">are still needed measures to stimulate </w:t>
      </w:r>
      <w:r>
        <w:rPr>
          <w:sz w:val="24"/>
          <w:szCs w:val="24"/>
          <w:lang w:val="ro-RO"/>
        </w:rPr>
        <w:t xml:space="preserve">the </w:t>
      </w:r>
      <w:r w:rsidRPr="00BB37FB">
        <w:rPr>
          <w:sz w:val="24"/>
          <w:szCs w:val="24"/>
          <w:lang w:val="ro-RO"/>
        </w:rPr>
        <w:t>economic activity</w:t>
      </w:r>
      <w:r>
        <w:rPr>
          <w:sz w:val="24"/>
          <w:szCs w:val="24"/>
          <w:lang w:val="ro-RO"/>
        </w:rPr>
        <w:t>.</w:t>
      </w:r>
      <w:r w:rsidR="00380BDC" w:rsidRPr="00380BDC">
        <w:t xml:space="preserve"> </w:t>
      </w:r>
      <w:r w:rsidR="00380BDC" w:rsidRPr="00380BDC">
        <w:rPr>
          <w:sz w:val="24"/>
          <w:szCs w:val="24"/>
          <w:lang w:val="ro-RO"/>
        </w:rPr>
        <w:t>In the case of the North-East region, GDP/</w:t>
      </w:r>
      <w:r w:rsidR="00380BDC">
        <w:rPr>
          <w:sz w:val="24"/>
          <w:szCs w:val="24"/>
          <w:lang w:val="ro-RO"/>
        </w:rPr>
        <w:t xml:space="preserve">capita will </w:t>
      </w:r>
      <w:r w:rsidR="00380BDC" w:rsidRPr="00380BDC">
        <w:rPr>
          <w:sz w:val="24"/>
          <w:szCs w:val="24"/>
          <w:lang w:val="ro-RO"/>
        </w:rPr>
        <w:t xml:space="preserve">reaches 62.1% of the national average in 2025, from 62.9% as estimated for 2021, and </w:t>
      </w:r>
      <w:r w:rsidR="00380BDC">
        <w:rPr>
          <w:sz w:val="24"/>
          <w:szCs w:val="24"/>
          <w:lang w:val="ro-RO"/>
        </w:rPr>
        <w:t xml:space="preserve">in </w:t>
      </w:r>
      <w:r w:rsidR="00380BDC" w:rsidRPr="00380BDC">
        <w:rPr>
          <w:sz w:val="24"/>
          <w:szCs w:val="24"/>
          <w:lang w:val="ro-RO"/>
        </w:rPr>
        <w:t xml:space="preserve">the South-West-Oltenia region </w:t>
      </w:r>
      <w:r w:rsidR="00380BDC">
        <w:rPr>
          <w:sz w:val="24"/>
          <w:szCs w:val="24"/>
          <w:lang w:val="ro-RO"/>
        </w:rPr>
        <w:t xml:space="preserve">the </w:t>
      </w:r>
      <w:r w:rsidR="00380BDC" w:rsidRPr="00380BDC">
        <w:rPr>
          <w:sz w:val="24"/>
          <w:szCs w:val="24"/>
          <w:lang w:val="ro-RO"/>
        </w:rPr>
        <w:t>GDP/</w:t>
      </w:r>
      <w:r w:rsidR="00380BDC">
        <w:rPr>
          <w:sz w:val="24"/>
          <w:szCs w:val="24"/>
          <w:lang w:val="ro-RO"/>
        </w:rPr>
        <w:t>capita</w:t>
      </w:r>
      <w:r w:rsidR="00380BDC" w:rsidRPr="00380BDC">
        <w:rPr>
          <w:sz w:val="24"/>
          <w:szCs w:val="24"/>
          <w:lang w:val="ro-RO"/>
        </w:rPr>
        <w:t xml:space="preserve"> is forecast to reach 77.4% of the national average compared to 78.2% in 2021.</w:t>
      </w:r>
      <w:r w:rsidR="000A337E" w:rsidRPr="000A337E">
        <w:t xml:space="preserve"> </w:t>
      </w:r>
      <w:r w:rsidR="000A337E" w:rsidRPr="000A337E">
        <w:rPr>
          <w:sz w:val="24"/>
          <w:szCs w:val="24"/>
          <w:lang w:val="ro-RO"/>
        </w:rPr>
        <w:t xml:space="preserve">The main cause of these evolutions, according to the data from the balance sheets for 2020, analyzed within </w:t>
      </w:r>
      <w:r w:rsidR="0059629D">
        <w:rPr>
          <w:sz w:val="24"/>
          <w:szCs w:val="24"/>
          <w:lang w:val="ro-RO"/>
        </w:rPr>
        <w:t>NCSP</w:t>
      </w:r>
      <w:r w:rsidR="000A337E" w:rsidRPr="000A337E">
        <w:rPr>
          <w:sz w:val="24"/>
          <w:szCs w:val="24"/>
          <w:lang w:val="ro-RO"/>
        </w:rPr>
        <w:t>, is given by the structure of the industry and services, in the sense that in these counties the activities with low added value predominate.</w:t>
      </w:r>
      <w:r w:rsidR="00D641ED" w:rsidRPr="00D641ED">
        <w:t xml:space="preserve"> </w:t>
      </w:r>
      <w:r w:rsidR="00D641ED" w:rsidRPr="00D641ED">
        <w:rPr>
          <w:sz w:val="24"/>
          <w:szCs w:val="24"/>
          <w:lang w:val="ro-RO"/>
        </w:rPr>
        <w:t>The recovery of these gaps can only be achieved through significant investments in th</w:t>
      </w:r>
      <w:r w:rsidR="00D641ED">
        <w:rPr>
          <w:sz w:val="24"/>
          <w:szCs w:val="24"/>
          <w:lang w:val="ro-RO"/>
        </w:rPr>
        <w:t>is</w:t>
      </w:r>
      <w:r w:rsidR="00D641ED" w:rsidRPr="00D641ED">
        <w:rPr>
          <w:sz w:val="24"/>
          <w:szCs w:val="24"/>
          <w:lang w:val="ro-RO"/>
        </w:rPr>
        <w:t xml:space="preserve"> two branches, as well as in infrastructure, which would later allow dynamics of economic growth higher than the national average.</w:t>
      </w:r>
    </w:p>
    <w:p w:rsidR="00BB2176" w:rsidRDefault="00BB2176" w:rsidP="00C868FE">
      <w:pPr>
        <w:spacing w:after="120"/>
        <w:jc w:val="both"/>
        <w:rPr>
          <w:sz w:val="24"/>
          <w:szCs w:val="24"/>
          <w:lang w:val="ro-RO"/>
        </w:rPr>
      </w:pPr>
    </w:p>
    <w:p w:rsidR="00060D72" w:rsidRPr="00C80D5A" w:rsidRDefault="00194E05" w:rsidP="00C868FE">
      <w:pPr>
        <w:spacing w:after="120"/>
        <w:jc w:val="both"/>
        <w:rPr>
          <w:b/>
          <w:bCs/>
          <w:sz w:val="24"/>
          <w:szCs w:val="24"/>
          <w:lang w:val="ro-RO"/>
        </w:rPr>
      </w:pPr>
      <w:r>
        <w:rPr>
          <w:b/>
          <w:bCs/>
          <w:sz w:val="24"/>
          <w:szCs w:val="24"/>
          <w:lang w:val="ro-RO"/>
        </w:rPr>
        <w:t>Regional level fore</w:t>
      </w:r>
      <w:r w:rsidR="00060D72">
        <w:rPr>
          <w:b/>
          <w:bCs/>
          <w:sz w:val="24"/>
          <w:szCs w:val="24"/>
          <w:lang w:val="ro-RO"/>
        </w:rPr>
        <w:t>casts</w:t>
      </w:r>
    </w:p>
    <w:p w:rsidR="001A2682" w:rsidRPr="003126E1" w:rsidRDefault="001A2682" w:rsidP="00E8432C">
      <w:pPr>
        <w:spacing w:after="120"/>
        <w:jc w:val="both"/>
        <w:rPr>
          <w:sz w:val="24"/>
          <w:szCs w:val="24"/>
          <w:lang w:val="ro-RO"/>
        </w:rPr>
      </w:pPr>
      <w:r w:rsidRPr="001A2682">
        <w:rPr>
          <w:sz w:val="24"/>
          <w:szCs w:val="24"/>
          <w:lang w:val="ro-RO"/>
        </w:rPr>
        <w:t xml:space="preserve">For </w:t>
      </w:r>
      <w:r w:rsidRPr="00E80F28">
        <w:rPr>
          <w:b/>
          <w:sz w:val="24"/>
          <w:szCs w:val="24"/>
          <w:lang w:val="ro-RO"/>
        </w:rPr>
        <w:t>the North-East region</w:t>
      </w:r>
      <w:r w:rsidRPr="001A2682">
        <w:rPr>
          <w:sz w:val="24"/>
          <w:szCs w:val="24"/>
          <w:lang w:val="ro-RO"/>
        </w:rPr>
        <w:t xml:space="preserve">, </w:t>
      </w:r>
      <w:r w:rsidR="006E31F6">
        <w:rPr>
          <w:sz w:val="24"/>
          <w:szCs w:val="24"/>
          <w:lang w:val="ro-RO"/>
        </w:rPr>
        <w:t xml:space="preserve">it </w:t>
      </w:r>
      <w:r w:rsidRPr="001A2682">
        <w:rPr>
          <w:sz w:val="24"/>
          <w:szCs w:val="24"/>
          <w:lang w:val="ro-RO"/>
        </w:rPr>
        <w:t>is projected over the entire forecast horizon</w:t>
      </w:r>
      <w:r>
        <w:rPr>
          <w:sz w:val="24"/>
          <w:szCs w:val="24"/>
          <w:lang w:val="ro-RO"/>
        </w:rPr>
        <w:t>,</w:t>
      </w:r>
      <w:r w:rsidRPr="001A2682">
        <w:rPr>
          <w:sz w:val="24"/>
          <w:szCs w:val="24"/>
          <w:lang w:val="ro-RO"/>
        </w:rPr>
        <w:t xml:space="preserve"> an average </w:t>
      </w:r>
      <w:r w:rsidR="00EF3665" w:rsidRPr="001A2682">
        <w:rPr>
          <w:sz w:val="24"/>
          <w:szCs w:val="24"/>
          <w:lang w:val="ro-RO"/>
        </w:rPr>
        <w:t xml:space="preserve">annual </w:t>
      </w:r>
      <w:r w:rsidRPr="001A2682">
        <w:rPr>
          <w:sz w:val="24"/>
          <w:szCs w:val="24"/>
          <w:lang w:val="ro-RO"/>
        </w:rPr>
        <w:t>real GDP growth of 4.4%, based mainly on constructions (8.9%)</w:t>
      </w:r>
      <w:r w:rsidR="00C340B5">
        <w:rPr>
          <w:sz w:val="24"/>
          <w:szCs w:val="24"/>
          <w:lang w:val="ro-RO"/>
        </w:rPr>
        <w:t>.</w:t>
      </w:r>
      <w:r w:rsidR="00C340B5" w:rsidRPr="00C340B5">
        <w:t xml:space="preserve"> </w:t>
      </w:r>
      <w:r w:rsidR="00C340B5" w:rsidRPr="00C340B5">
        <w:rPr>
          <w:sz w:val="24"/>
          <w:szCs w:val="24"/>
          <w:lang w:val="ro-RO"/>
        </w:rPr>
        <w:t>Agriculture (3.1%), industry (4.5%) and services (4.0%) will record moderate dynamics, in line with historical trends.</w:t>
      </w:r>
      <w:r w:rsidR="00273E8F" w:rsidRPr="00273E8F">
        <w:t xml:space="preserve"> </w:t>
      </w:r>
      <w:r w:rsidR="00273E8F" w:rsidRPr="00273E8F">
        <w:rPr>
          <w:sz w:val="24"/>
          <w:szCs w:val="24"/>
          <w:lang w:val="ro-RO"/>
        </w:rPr>
        <w:t>The activity in services could benefit from the relaunch of tourism, as well as from the amplification of the activity in the sector of the market services provided to the enterprises in new development poles of the region (mainly</w:t>
      </w:r>
      <w:r w:rsidR="006824BC">
        <w:rPr>
          <w:sz w:val="24"/>
          <w:szCs w:val="24"/>
          <w:lang w:val="ro-RO"/>
        </w:rPr>
        <w:t xml:space="preserve"> in County</w:t>
      </w:r>
      <w:r w:rsidR="006E31F6">
        <w:rPr>
          <w:sz w:val="24"/>
          <w:szCs w:val="24"/>
          <w:lang w:val="ro-RO"/>
        </w:rPr>
        <w:t xml:space="preserve"> of</w:t>
      </w:r>
      <w:r w:rsidR="00273E8F" w:rsidRPr="00273E8F">
        <w:rPr>
          <w:sz w:val="24"/>
          <w:szCs w:val="24"/>
          <w:lang w:val="ro-RO"/>
        </w:rPr>
        <w:t xml:space="preserve"> Iaşi).</w:t>
      </w:r>
      <w:r w:rsidR="00B47717" w:rsidRPr="00B47717">
        <w:t xml:space="preserve"> </w:t>
      </w:r>
      <w:r w:rsidR="00B47717" w:rsidRPr="00B47717">
        <w:rPr>
          <w:sz w:val="24"/>
          <w:szCs w:val="24"/>
          <w:lang w:val="ro-RO"/>
        </w:rPr>
        <w:t>The constructions will benefit from the investments in infrastructure and public utilities that will be made in order to reduce the development gap of the region.</w:t>
      </w:r>
    </w:p>
    <w:p w:rsidR="002F19AC" w:rsidRPr="003126E1" w:rsidRDefault="002F19AC" w:rsidP="007164B3">
      <w:pPr>
        <w:spacing w:after="120"/>
        <w:jc w:val="both"/>
        <w:rPr>
          <w:sz w:val="24"/>
          <w:szCs w:val="24"/>
          <w:lang w:val="ro-RO"/>
        </w:rPr>
      </w:pPr>
      <w:r w:rsidRPr="002F19AC">
        <w:rPr>
          <w:sz w:val="24"/>
          <w:szCs w:val="24"/>
          <w:lang w:val="ro-RO"/>
        </w:rPr>
        <w:t xml:space="preserve">For the economy of </w:t>
      </w:r>
      <w:r w:rsidRPr="002A09AF">
        <w:rPr>
          <w:b/>
          <w:sz w:val="24"/>
          <w:szCs w:val="24"/>
          <w:lang w:val="ro-RO"/>
        </w:rPr>
        <w:t>Bacău</w:t>
      </w:r>
      <w:r w:rsidR="006824BC">
        <w:rPr>
          <w:sz w:val="24"/>
          <w:szCs w:val="24"/>
          <w:lang w:val="ro-RO"/>
        </w:rPr>
        <w:t xml:space="preserve"> County</w:t>
      </w:r>
      <w:r w:rsidRPr="002F19AC">
        <w:rPr>
          <w:sz w:val="24"/>
          <w:szCs w:val="24"/>
          <w:lang w:val="ro-RO"/>
        </w:rPr>
        <w:t xml:space="preserve">, the construction materials and interior design </w:t>
      </w:r>
      <w:r>
        <w:rPr>
          <w:sz w:val="24"/>
          <w:szCs w:val="24"/>
          <w:lang w:val="ro-RO"/>
        </w:rPr>
        <w:t xml:space="preserve">trade </w:t>
      </w:r>
      <w:r w:rsidRPr="002F19AC">
        <w:rPr>
          <w:sz w:val="24"/>
          <w:szCs w:val="24"/>
          <w:lang w:val="ro-RO"/>
        </w:rPr>
        <w:t xml:space="preserve">sector will continue to make its mark not only </w:t>
      </w:r>
      <w:r>
        <w:rPr>
          <w:sz w:val="24"/>
          <w:szCs w:val="24"/>
          <w:lang w:val="ro-RO"/>
        </w:rPr>
        <w:t>at regional</w:t>
      </w:r>
      <w:r w:rsidRPr="002F19AC">
        <w:rPr>
          <w:sz w:val="24"/>
          <w:szCs w:val="24"/>
          <w:lang w:val="ro-RO"/>
        </w:rPr>
        <w:t xml:space="preserve"> bu</w:t>
      </w:r>
      <w:r>
        <w:rPr>
          <w:sz w:val="24"/>
          <w:szCs w:val="24"/>
          <w:lang w:val="ro-RO"/>
        </w:rPr>
        <w:t xml:space="preserve">t also </w:t>
      </w:r>
      <w:r w:rsidR="002A4470">
        <w:rPr>
          <w:sz w:val="24"/>
          <w:szCs w:val="24"/>
          <w:lang w:val="ro-RO"/>
        </w:rPr>
        <w:t xml:space="preserve">at </w:t>
      </w:r>
      <w:r>
        <w:rPr>
          <w:sz w:val="24"/>
          <w:szCs w:val="24"/>
          <w:lang w:val="ro-RO"/>
        </w:rPr>
        <w:t>national level</w:t>
      </w:r>
      <w:r w:rsidRPr="002F19AC">
        <w:rPr>
          <w:sz w:val="24"/>
          <w:szCs w:val="24"/>
          <w:lang w:val="ro-RO"/>
        </w:rPr>
        <w:t>.</w:t>
      </w:r>
      <w:r w:rsidR="00DA5DA8" w:rsidRPr="00DA5DA8">
        <w:t xml:space="preserve"> </w:t>
      </w:r>
      <w:r w:rsidR="00DA5DA8" w:rsidRPr="00DA5DA8">
        <w:rPr>
          <w:sz w:val="24"/>
          <w:szCs w:val="24"/>
          <w:lang w:val="ro-RO"/>
        </w:rPr>
        <w:t>For the chemical industry and the road and motorway construction sector, significant increases are expected due to investments in the production and infrastructure sector.</w:t>
      </w:r>
      <w:r w:rsidR="007E5F7C" w:rsidRPr="007E5F7C">
        <w:t xml:space="preserve"> </w:t>
      </w:r>
      <w:r w:rsidR="007E5F7C" w:rsidRPr="007E5F7C">
        <w:rPr>
          <w:sz w:val="24"/>
          <w:szCs w:val="24"/>
          <w:lang w:val="ro-RO"/>
        </w:rPr>
        <w:t>The aircraft and food industries will also contribute to sustainable economic development.</w:t>
      </w:r>
    </w:p>
    <w:p w:rsidR="000B724D" w:rsidRPr="003126E1" w:rsidRDefault="00CE59C6" w:rsidP="007164B3">
      <w:pPr>
        <w:spacing w:after="120"/>
        <w:jc w:val="both"/>
        <w:rPr>
          <w:sz w:val="24"/>
          <w:szCs w:val="24"/>
          <w:lang w:val="ro-RO"/>
        </w:rPr>
      </w:pPr>
      <w:r w:rsidRPr="00CE59C6">
        <w:rPr>
          <w:sz w:val="24"/>
          <w:szCs w:val="24"/>
          <w:lang w:val="ro-RO"/>
        </w:rPr>
        <w:lastRenderedPageBreak/>
        <w:t xml:space="preserve">Regarding the economy of </w:t>
      </w:r>
      <w:r w:rsidRPr="002A09AF">
        <w:rPr>
          <w:b/>
          <w:sz w:val="24"/>
          <w:szCs w:val="24"/>
          <w:lang w:val="ro-RO"/>
        </w:rPr>
        <w:t>Botoșani</w:t>
      </w:r>
      <w:r w:rsidR="006824BC">
        <w:rPr>
          <w:sz w:val="24"/>
          <w:szCs w:val="24"/>
          <w:lang w:val="ro-RO"/>
        </w:rPr>
        <w:t xml:space="preserve"> County</w:t>
      </w:r>
      <w:r w:rsidRPr="00CE59C6">
        <w:rPr>
          <w:sz w:val="24"/>
          <w:szCs w:val="24"/>
          <w:lang w:val="ro-RO"/>
        </w:rPr>
        <w:t>, the future development directions will be supported by: wholesale and retail trade, food industry, textile industry and the manufacture of electricity control and distribution devices.</w:t>
      </w:r>
    </w:p>
    <w:p w:rsidR="00557063" w:rsidRDefault="00557063" w:rsidP="00557063">
      <w:pPr>
        <w:pStyle w:val="ListParagraph"/>
        <w:spacing w:after="120"/>
        <w:ind w:left="0"/>
        <w:jc w:val="both"/>
        <w:rPr>
          <w:sz w:val="24"/>
          <w:szCs w:val="24"/>
          <w:lang w:val="ro-RO"/>
        </w:rPr>
      </w:pPr>
      <w:r w:rsidRPr="00557063">
        <w:rPr>
          <w:sz w:val="24"/>
          <w:szCs w:val="24"/>
          <w:lang w:val="ro-RO"/>
        </w:rPr>
        <w:t xml:space="preserve">The sectoral economic arguments of </w:t>
      </w:r>
      <w:r w:rsidRPr="002948B5">
        <w:rPr>
          <w:b/>
          <w:sz w:val="24"/>
          <w:szCs w:val="24"/>
          <w:lang w:val="ro-RO"/>
        </w:rPr>
        <w:t>Iași</w:t>
      </w:r>
      <w:r w:rsidRPr="00557063">
        <w:rPr>
          <w:sz w:val="24"/>
          <w:szCs w:val="24"/>
          <w:lang w:val="ro-RO"/>
        </w:rPr>
        <w:t xml:space="preserve"> </w:t>
      </w:r>
      <w:r w:rsidR="006824BC">
        <w:rPr>
          <w:sz w:val="24"/>
          <w:szCs w:val="24"/>
          <w:lang w:val="ro-RO"/>
        </w:rPr>
        <w:t>County</w:t>
      </w:r>
      <w:r w:rsidRPr="00557063">
        <w:rPr>
          <w:sz w:val="24"/>
          <w:szCs w:val="24"/>
          <w:lang w:val="ro-RO"/>
        </w:rPr>
        <w:t xml:space="preserve"> for the time horizon 2025 are represented by:</w:t>
      </w:r>
    </w:p>
    <w:p w:rsidR="00557063" w:rsidRDefault="00557063" w:rsidP="00557063">
      <w:pPr>
        <w:pStyle w:val="ListParagraph"/>
        <w:numPr>
          <w:ilvl w:val="0"/>
          <w:numId w:val="6"/>
        </w:numPr>
        <w:spacing w:after="120"/>
        <w:jc w:val="both"/>
        <w:rPr>
          <w:sz w:val="24"/>
          <w:szCs w:val="24"/>
          <w:lang w:val="ro-RO"/>
        </w:rPr>
      </w:pPr>
      <w:r w:rsidRPr="00557063">
        <w:rPr>
          <w:sz w:val="24"/>
          <w:szCs w:val="24"/>
          <w:lang w:val="ro-RO"/>
        </w:rPr>
        <w:t>Manufacture of other parts and accessories for motor vehicles and their engines:</w:t>
      </w:r>
      <w:r w:rsidRPr="00557063">
        <w:t xml:space="preserve"> </w:t>
      </w:r>
      <w:r>
        <w:rPr>
          <w:sz w:val="24"/>
          <w:szCs w:val="24"/>
          <w:lang w:val="ro-RO"/>
        </w:rPr>
        <w:t>I</w:t>
      </w:r>
      <w:r w:rsidRPr="00557063">
        <w:rPr>
          <w:sz w:val="24"/>
          <w:szCs w:val="24"/>
          <w:lang w:val="ro-RO"/>
        </w:rPr>
        <w:t xml:space="preserve">n the next period </w:t>
      </w:r>
      <w:r>
        <w:rPr>
          <w:sz w:val="24"/>
          <w:szCs w:val="24"/>
          <w:lang w:val="ro-RO"/>
        </w:rPr>
        <w:t>a</w:t>
      </w:r>
      <w:r w:rsidRPr="00557063">
        <w:rPr>
          <w:sz w:val="24"/>
          <w:szCs w:val="24"/>
          <w:lang w:val="ro-RO"/>
        </w:rPr>
        <w:t xml:space="preserve"> series of investments in this field are expected to be made in the industrial parks in Iași metropolitan area</w:t>
      </w:r>
      <w:r>
        <w:rPr>
          <w:sz w:val="24"/>
          <w:szCs w:val="24"/>
          <w:lang w:val="ro-RO"/>
        </w:rPr>
        <w:t>.</w:t>
      </w:r>
    </w:p>
    <w:p w:rsidR="00557063" w:rsidRPr="00542DD5" w:rsidRDefault="004B29B1" w:rsidP="00542DD5">
      <w:pPr>
        <w:pStyle w:val="ListParagraph"/>
        <w:numPr>
          <w:ilvl w:val="0"/>
          <w:numId w:val="6"/>
        </w:numPr>
        <w:spacing w:after="120"/>
        <w:jc w:val="both"/>
        <w:rPr>
          <w:sz w:val="24"/>
          <w:szCs w:val="24"/>
          <w:lang w:val="ro-RO"/>
        </w:rPr>
      </w:pPr>
      <w:r w:rsidRPr="004B29B1">
        <w:rPr>
          <w:sz w:val="24"/>
          <w:szCs w:val="24"/>
          <w:lang w:val="ro-RO"/>
        </w:rPr>
        <w:t xml:space="preserve">The pharmaceutical industry and the IT sector are expected to benefit from investments that will result in an increase in </w:t>
      </w:r>
      <w:r w:rsidR="00234C3C">
        <w:rPr>
          <w:sz w:val="24"/>
          <w:szCs w:val="24"/>
          <w:lang w:val="ro-RO"/>
        </w:rPr>
        <w:t xml:space="preserve">the </w:t>
      </w:r>
      <w:r w:rsidRPr="004B29B1">
        <w:rPr>
          <w:sz w:val="24"/>
          <w:szCs w:val="24"/>
          <w:lang w:val="ro-RO"/>
        </w:rPr>
        <w:t>production of high value-added goods and services.</w:t>
      </w:r>
    </w:p>
    <w:p w:rsidR="00CF7830" w:rsidRPr="003126E1" w:rsidRDefault="00CF7830" w:rsidP="007164B3">
      <w:pPr>
        <w:spacing w:after="120"/>
        <w:jc w:val="both"/>
        <w:rPr>
          <w:sz w:val="24"/>
          <w:szCs w:val="24"/>
          <w:lang w:val="ro-RO"/>
        </w:rPr>
      </w:pPr>
      <w:r w:rsidRPr="00CF7830">
        <w:rPr>
          <w:sz w:val="24"/>
          <w:szCs w:val="24"/>
          <w:lang w:val="ro-RO"/>
        </w:rPr>
        <w:t xml:space="preserve">The priority development sectors of </w:t>
      </w:r>
      <w:r w:rsidRPr="00234C3C">
        <w:rPr>
          <w:b/>
          <w:sz w:val="24"/>
          <w:szCs w:val="24"/>
          <w:lang w:val="ro-RO"/>
        </w:rPr>
        <w:t xml:space="preserve">Neamț </w:t>
      </w:r>
      <w:r w:rsidR="006824BC">
        <w:rPr>
          <w:sz w:val="24"/>
          <w:szCs w:val="24"/>
          <w:lang w:val="ro-RO"/>
        </w:rPr>
        <w:t>County</w:t>
      </w:r>
      <w:r w:rsidR="00234C3C">
        <w:rPr>
          <w:sz w:val="24"/>
          <w:szCs w:val="24"/>
          <w:lang w:val="ro-RO"/>
        </w:rPr>
        <w:t xml:space="preserve"> are:</w:t>
      </w:r>
      <w:r w:rsidRPr="00CF7830">
        <w:rPr>
          <w:sz w:val="24"/>
          <w:szCs w:val="24"/>
          <w:lang w:val="ro-RO"/>
        </w:rPr>
        <w:t xml:space="preserve"> chemical industry, textile industry, </w:t>
      </w:r>
      <w:r w:rsidR="00234C3C">
        <w:rPr>
          <w:sz w:val="24"/>
          <w:szCs w:val="24"/>
          <w:lang w:val="ro-RO"/>
        </w:rPr>
        <w:t>t</w:t>
      </w:r>
      <w:r w:rsidRPr="00CF7830">
        <w:rPr>
          <w:sz w:val="24"/>
          <w:szCs w:val="24"/>
          <w:lang w:val="ro-RO"/>
        </w:rPr>
        <w:t>rade, technology and chemistry branch of textiles and constructions.</w:t>
      </w:r>
      <w:r w:rsidRPr="00CF7830">
        <w:t xml:space="preserve"> </w:t>
      </w:r>
      <w:r w:rsidRPr="00CF7830">
        <w:rPr>
          <w:sz w:val="24"/>
          <w:szCs w:val="24"/>
          <w:lang w:val="ro-RO"/>
        </w:rPr>
        <w:t>A number of investments are in progress</w:t>
      </w:r>
      <w:r>
        <w:rPr>
          <w:sz w:val="24"/>
          <w:szCs w:val="24"/>
          <w:lang w:val="ro-RO"/>
        </w:rPr>
        <w:t xml:space="preserve"> </w:t>
      </w:r>
      <w:r w:rsidRPr="00CF7830">
        <w:rPr>
          <w:sz w:val="24"/>
          <w:szCs w:val="24"/>
          <w:lang w:val="ro-RO"/>
        </w:rPr>
        <w:t xml:space="preserve">in the chemical and petrochemical equipment and machinery industry and </w:t>
      </w:r>
      <w:r>
        <w:rPr>
          <w:sz w:val="24"/>
          <w:szCs w:val="24"/>
          <w:lang w:val="ro-RO"/>
        </w:rPr>
        <w:t xml:space="preserve">in </w:t>
      </w:r>
      <w:r w:rsidRPr="00CF7830">
        <w:rPr>
          <w:sz w:val="24"/>
          <w:szCs w:val="24"/>
          <w:lang w:val="ro-RO"/>
        </w:rPr>
        <w:t>the textile industry (construction of production halls, acquisition of industrial equipment).</w:t>
      </w:r>
      <w:r w:rsidR="00FE65B3" w:rsidRPr="00FE65B3">
        <w:t xml:space="preserve"> </w:t>
      </w:r>
      <w:r w:rsidR="00FE65B3" w:rsidRPr="00FE65B3">
        <w:rPr>
          <w:sz w:val="24"/>
          <w:szCs w:val="24"/>
          <w:lang w:val="ro-RO"/>
        </w:rPr>
        <w:t xml:space="preserve">The main challenges facing </w:t>
      </w:r>
      <w:r w:rsidR="00FE65B3">
        <w:rPr>
          <w:sz w:val="24"/>
          <w:szCs w:val="24"/>
          <w:lang w:val="ro-RO"/>
        </w:rPr>
        <w:t xml:space="preserve">the economic agets </w:t>
      </w:r>
      <w:r w:rsidR="00FE65B3" w:rsidRPr="00FE65B3">
        <w:rPr>
          <w:sz w:val="24"/>
          <w:szCs w:val="24"/>
          <w:lang w:val="ro-RO"/>
        </w:rPr>
        <w:t>are the restrictions imposed by the pandemic and the evolution of commodity prices.</w:t>
      </w:r>
    </w:p>
    <w:p w:rsidR="00AD09AC" w:rsidRPr="003126E1" w:rsidRDefault="00AD09AC" w:rsidP="007164B3">
      <w:pPr>
        <w:spacing w:after="120"/>
        <w:jc w:val="both"/>
        <w:rPr>
          <w:sz w:val="24"/>
          <w:szCs w:val="24"/>
          <w:lang w:val="ro-RO"/>
        </w:rPr>
      </w:pPr>
      <w:r w:rsidRPr="00361F18">
        <w:rPr>
          <w:b/>
          <w:sz w:val="24"/>
          <w:szCs w:val="24"/>
          <w:lang w:val="ro-RO"/>
        </w:rPr>
        <w:t>Suceava</w:t>
      </w:r>
      <w:r w:rsidRPr="00AD09AC">
        <w:rPr>
          <w:sz w:val="24"/>
          <w:szCs w:val="24"/>
          <w:lang w:val="ro-RO"/>
        </w:rPr>
        <w:t xml:space="preserve"> </w:t>
      </w:r>
      <w:r w:rsidR="006824BC">
        <w:rPr>
          <w:sz w:val="24"/>
          <w:szCs w:val="24"/>
          <w:lang w:val="ro-RO"/>
        </w:rPr>
        <w:t>County</w:t>
      </w:r>
      <w:r w:rsidRPr="00AD09AC">
        <w:rPr>
          <w:sz w:val="24"/>
          <w:szCs w:val="24"/>
          <w:lang w:val="ro-RO"/>
        </w:rPr>
        <w:t>'s economy is mainly focused on trade, industry (food, wood processing, clothing manufacturing, tanning and finishing of leather, textile manufacturing, furniture manufacturing) and construction.</w:t>
      </w:r>
      <w:r w:rsidRPr="00AD09AC">
        <w:t xml:space="preserve"> </w:t>
      </w:r>
      <w:r w:rsidRPr="00AD09AC">
        <w:rPr>
          <w:sz w:val="24"/>
          <w:szCs w:val="24"/>
          <w:lang w:val="ro-RO"/>
        </w:rPr>
        <w:t xml:space="preserve">Also, </w:t>
      </w:r>
      <w:r>
        <w:rPr>
          <w:sz w:val="24"/>
          <w:szCs w:val="24"/>
          <w:lang w:val="ro-RO"/>
        </w:rPr>
        <w:t xml:space="preserve">the </w:t>
      </w:r>
      <w:r w:rsidRPr="00AD09AC">
        <w:rPr>
          <w:sz w:val="24"/>
          <w:szCs w:val="24"/>
          <w:lang w:val="ro-RO"/>
        </w:rPr>
        <w:t xml:space="preserve">tourism has an important role in the </w:t>
      </w:r>
      <w:r w:rsidR="006824BC">
        <w:rPr>
          <w:sz w:val="24"/>
          <w:szCs w:val="24"/>
          <w:lang w:val="ro-RO"/>
        </w:rPr>
        <w:t>County</w:t>
      </w:r>
      <w:r w:rsidRPr="00AD09AC">
        <w:rPr>
          <w:sz w:val="24"/>
          <w:szCs w:val="24"/>
          <w:lang w:val="ro-RO"/>
        </w:rPr>
        <w:t>'s economy.</w:t>
      </w:r>
      <w:r w:rsidRPr="00AD09AC">
        <w:t xml:space="preserve"> </w:t>
      </w:r>
      <w:r w:rsidRPr="00AD09AC">
        <w:rPr>
          <w:sz w:val="24"/>
          <w:szCs w:val="24"/>
          <w:lang w:val="ro-RO"/>
        </w:rPr>
        <w:t xml:space="preserve">The Bucovina tourism brand continues to develop its tourism infrastructure, contributing to </w:t>
      </w:r>
      <w:r w:rsidR="006824BC">
        <w:rPr>
          <w:sz w:val="24"/>
          <w:szCs w:val="24"/>
          <w:lang w:val="ro-RO"/>
        </w:rPr>
        <w:t>the rapid development of this sector</w:t>
      </w:r>
      <w:r w:rsidRPr="00AD09AC">
        <w:rPr>
          <w:sz w:val="24"/>
          <w:szCs w:val="24"/>
          <w:lang w:val="ro-RO"/>
        </w:rPr>
        <w:t>.</w:t>
      </w:r>
    </w:p>
    <w:p w:rsidR="00247231" w:rsidRPr="003126E1" w:rsidRDefault="00247231" w:rsidP="007164B3">
      <w:pPr>
        <w:spacing w:after="120"/>
        <w:jc w:val="both"/>
        <w:rPr>
          <w:sz w:val="24"/>
          <w:szCs w:val="24"/>
          <w:lang w:val="ro-RO"/>
        </w:rPr>
      </w:pPr>
      <w:r w:rsidRPr="00247231">
        <w:rPr>
          <w:sz w:val="24"/>
          <w:szCs w:val="24"/>
          <w:lang w:val="ro-RO"/>
        </w:rPr>
        <w:t xml:space="preserve">The economic sectors with a representative economic development for </w:t>
      </w:r>
      <w:r w:rsidRPr="00410E9E">
        <w:rPr>
          <w:b/>
          <w:sz w:val="24"/>
          <w:szCs w:val="24"/>
          <w:lang w:val="ro-RO"/>
        </w:rPr>
        <w:t>Vaslui</w:t>
      </w:r>
      <w:r w:rsidRPr="00247231">
        <w:rPr>
          <w:sz w:val="24"/>
          <w:szCs w:val="24"/>
          <w:lang w:val="ro-RO"/>
        </w:rPr>
        <w:t xml:space="preserve"> </w:t>
      </w:r>
      <w:r w:rsidR="006824BC">
        <w:rPr>
          <w:sz w:val="24"/>
          <w:szCs w:val="24"/>
          <w:lang w:val="ro-RO"/>
        </w:rPr>
        <w:t>County</w:t>
      </w:r>
      <w:r w:rsidRPr="00247231">
        <w:rPr>
          <w:sz w:val="24"/>
          <w:szCs w:val="24"/>
          <w:lang w:val="ro-RO"/>
        </w:rPr>
        <w:t xml:space="preserve"> are: cereal cultivation, poultry and herbivore breeding, poultry processing and preservation, manufacture of bearings, gears, gearboxes and mechanical transmission elements and manufacture of meat products.</w:t>
      </w:r>
      <w:r w:rsidR="008C31E5" w:rsidRPr="008C31E5">
        <w:t xml:space="preserve"> </w:t>
      </w:r>
      <w:r w:rsidR="008C31E5" w:rsidRPr="008C31E5">
        <w:rPr>
          <w:sz w:val="24"/>
          <w:szCs w:val="24"/>
          <w:lang w:val="ro-RO"/>
        </w:rPr>
        <w:t>Investments in the bearing and food industries will ensure the premises for a sustained development for the coming years</w:t>
      </w:r>
      <w:r w:rsidR="00F571C0">
        <w:rPr>
          <w:sz w:val="24"/>
          <w:szCs w:val="24"/>
          <w:lang w:val="ro-RO"/>
        </w:rPr>
        <w:t>.</w:t>
      </w:r>
    </w:p>
    <w:p w:rsidR="00F571C0" w:rsidRPr="003126E1" w:rsidRDefault="00F571C0" w:rsidP="00E8432C">
      <w:pPr>
        <w:spacing w:after="120"/>
        <w:jc w:val="both"/>
        <w:rPr>
          <w:sz w:val="24"/>
          <w:szCs w:val="24"/>
          <w:lang w:val="ro-RO"/>
        </w:rPr>
      </w:pPr>
      <w:r>
        <w:rPr>
          <w:sz w:val="24"/>
          <w:szCs w:val="24"/>
          <w:lang w:val="ro-RO"/>
        </w:rPr>
        <w:t>The e</w:t>
      </w:r>
      <w:r w:rsidRPr="00F571C0">
        <w:rPr>
          <w:sz w:val="24"/>
          <w:szCs w:val="24"/>
          <w:lang w:val="ro-RO"/>
        </w:rPr>
        <w:t>mployment will continue its upward trajectory after the resumption of economic growth starting with 2021.</w:t>
      </w:r>
      <w:r w:rsidR="0099397E" w:rsidRPr="0099397E">
        <w:t xml:space="preserve"> </w:t>
      </w:r>
      <w:r w:rsidR="0099397E" w:rsidRPr="0099397E">
        <w:rPr>
          <w:sz w:val="24"/>
          <w:szCs w:val="24"/>
          <w:lang w:val="ro-RO"/>
        </w:rPr>
        <w:t xml:space="preserve">Thus, the civilian employed population will reach in 2025 the value of 1128.5 thousand people, </w:t>
      </w:r>
      <w:r w:rsidR="0099397E">
        <w:rPr>
          <w:sz w:val="24"/>
          <w:szCs w:val="24"/>
          <w:lang w:val="ro-RO"/>
        </w:rPr>
        <w:t xml:space="preserve">by </w:t>
      </w:r>
      <w:r w:rsidR="0099397E" w:rsidRPr="0099397E">
        <w:rPr>
          <w:sz w:val="24"/>
          <w:szCs w:val="24"/>
          <w:lang w:val="ro-RO"/>
        </w:rPr>
        <w:t>2.4% above the level of 2021, with a significant component of qualitative improvement of the structure, as the average number of employees is forecast</w:t>
      </w:r>
      <w:r w:rsidR="008A5784">
        <w:rPr>
          <w:sz w:val="24"/>
          <w:szCs w:val="24"/>
          <w:lang w:val="ro-RO"/>
        </w:rPr>
        <w:t>ed</w:t>
      </w:r>
      <w:r w:rsidR="0099397E" w:rsidRPr="0099397E">
        <w:rPr>
          <w:sz w:val="24"/>
          <w:szCs w:val="24"/>
          <w:lang w:val="ro-RO"/>
        </w:rPr>
        <w:t xml:space="preserve"> at 626.6 thousand people in 2025 compared to 577.1 thousand people as recorded in 2021, so a cumulative increase of 8.6%</w:t>
      </w:r>
      <w:r w:rsidR="0099397E">
        <w:rPr>
          <w:sz w:val="24"/>
          <w:szCs w:val="24"/>
          <w:lang w:val="ro-RO"/>
        </w:rPr>
        <w:t>.</w:t>
      </w:r>
      <w:r w:rsidR="0099397E" w:rsidRPr="0099397E">
        <w:t xml:space="preserve"> </w:t>
      </w:r>
      <w:r w:rsidR="0099397E">
        <w:rPr>
          <w:sz w:val="24"/>
          <w:szCs w:val="24"/>
          <w:lang w:val="ro-RO"/>
        </w:rPr>
        <w:t>A</w:t>
      </w:r>
      <w:r w:rsidR="0099397E" w:rsidRPr="0099397E">
        <w:rPr>
          <w:sz w:val="24"/>
          <w:szCs w:val="24"/>
          <w:lang w:val="ro-RO"/>
        </w:rPr>
        <w:t xml:space="preserve">t the end of 2025 </w:t>
      </w:r>
      <w:r w:rsidR="0099397E">
        <w:rPr>
          <w:sz w:val="24"/>
          <w:szCs w:val="24"/>
          <w:lang w:val="ro-RO"/>
        </w:rPr>
        <w:t>the</w:t>
      </w:r>
      <w:r w:rsidR="0099397E" w:rsidRPr="0099397E">
        <w:rPr>
          <w:sz w:val="24"/>
          <w:szCs w:val="24"/>
          <w:lang w:val="ro-RO"/>
        </w:rPr>
        <w:t xml:space="preserve"> unemployment rate will reach 3.8% compared to 4.3% in 2021, the region remaining, however, among those with the highest unemployment.</w:t>
      </w:r>
      <w:r w:rsidR="009959E0" w:rsidRPr="009959E0">
        <w:t xml:space="preserve"> </w:t>
      </w:r>
      <w:r w:rsidR="009959E0" w:rsidRPr="009959E0">
        <w:rPr>
          <w:sz w:val="24"/>
          <w:szCs w:val="24"/>
          <w:lang w:val="ro-RO"/>
        </w:rPr>
        <w:t xml:space="preserve">The average net </w:t>
      </w:r>
      <w:r w:rsidR="00370028">
        <w:rPr>
          <w:sz w:val="24"/>
          <w:szCs w:val="24"/>
          <w:lang w:val="ro-RO"/>
        </w:rPr>
        <w:t>wage</w:t>
      </w:r>
      <w:r w:rsidR="00A34DC2">
        <w:rPr>
          <w:sz w:val="24"/>
          <w:szCs w:val="24"/>
          <w:lang w:val="ro-RO"/>
        </w:rPr>
        <w:t xml:space="preserve"> earning</w:t>
      </w:r>
      <w:r w:rsidR="009959E0" w:rsidRPr="009959E0">
        <w:rPr>
          <w:sz w:val="24"/>
          <w:szCs w:val="24"/>
          <w:lang w:val="ro-RO"/>
        </w:rPr>
        <w:t xml:space="preserve"> will increase</w:t>
      </w:r>
      <w:r w:rsidR="00370028">
        <w:rPr>
          <w:sz w:val="24"/>
          <w:szCs w:val="24"/>
          <w:lang w:val="ro-RO"/>
        </w:rPr>
        <w:t xml:space="preserve"> at paces</w:t>
      </w:r>
      <w:r w:rsidR="009959E0" w:rsidRPr="009959E0">
        <w:rPr>
          <w:sz w:val="24"/>
          <w:szCs w:val="24"/>
          <w:lang w:val="ro-RO"/>
        </w:rPr>
        <w:t xml:space="preserve"> around the national average</w:t>
      </w:r>
      <w:r w:rsidR="00370028">
        <w:rPr>
          <w:sz w:val="24"/>
          <w:szCs w:val="24"/>
          <w:lang w:val="ro-RO"/>
        </w:rPr>
        <w:t xml:space="preserve"> one</w:t>
      </w:r>
      <w:r w:rsidR="009959E0" w:rsidRPr="009959E0">
        <w:rPr>
          <w:sz w:val="24"/>
          <w:szCs w:val="24"/>
          <w:lang w:val="ro-RO"/>
        </w:rPr>
        <w:t>, reaching 4256 lei in 2025.</w:t>
      </w:r>
    </w:p>
    <w:p w:rsidR="00F666B0" w:rsidRPr="003126E1" w:rsidRDefault="00F666B0" w:rsidP="00E8432C">
      <w:pPr>
        <w:spacing w:after="120"/>
        <w:jc w:val="both"/>
        <w:rPr>
          <w:sz w:val="24"/>
          <w:szCs w:val="24"/>
          <w:lang w:val="ro-RO"/>
        </w:rPr>
      </w:pPr>
      <w:r w:rsidRPr="00F666B0">
        <w:rPr>
          <w:sz w:val="24"/>
          <w:szCs w:val="24"/>
          <w:lang w:val="ro-RO"/>
        </w:rPr>
        <w:lastRenderedPageBreak/>
        <w:t xml:space="preserve">For </w:t>
      </w:r>
      <w:r w:rsidRPr="00565F8B">
        <w:rPr>
          <w:b/>
          <w:sz w:val="24"/>
          <w:szCs w:val="24"/>
          <w:lang w:val="ro-RO"/>
        </w:rPr>
        <w:t>the South-East region</w:t>
      </w:r>
      <w:r w:rsidRPr="00F666B0">
        <w:rPr>
          <w:sz w:val="24"/>
          <w:szCs w:val="24"/>
          <w:lang w:val="ro-RO"/>
        </w:rPr>
        <w:t xml:space="preserve">, is expected a real annual GDP growth </w:t>
      </w:r>
      <w:r w:rsidR="00AA28A0">
        <w:rPr>
          <w:sz w:val="24"/>
          <w:szCs w:val="24"/>
          <w:lang w:val="ro-RO"/>
        </w:rPr>
        <w:t>by</w:t>
      </w:r>
      <w:r w:rsidRPr="00F666B0">
        <w:rPr>
          <w:sz w:val="24"/>
          <w:szCs w:val="24"/>
          <w:lang w:val="ro-RO"/>
        </w:rPr>
        <w:t xml:space="preserve"> 0.3 percentage points below the national average in all years of the forecast horizon, respectively 4.5% on average, based mainly on constructions (10.8%).</w:t>
      </w:r>
      <w:r w:rsidR="00CE26DD" w:rsidRPr="00CE26DD">
        <w:rPr>
          <w:sz w:val="24"/>
          <w:szCs w:val="24"/>
          <w:lang w:val="ro-RO"/>
        </w:rPr>
        <w:t>The dynamic</w:t>
      </w:r>
      <w:r w:rsidR="00CD3817">
        <w:rPr>
          <w:sz w:val="24"/>
          <w:szCs w:val="24"/>
          <w:lang w:val="ro-RO"/>
        </w:rPr>
        <w:t xml:space="preserve"> r</w:t>
      </w:r>
      <w:r w:rsidR="00CD3817" w:rsidRPr="00CE26DD">
        <w:rPr>
          <w:sz w:val="24"/>
          <w:szCs w:val="24"/>
          <w:lang w:val="ro-RO"/>
        </w:rPr>
        <w:t>elatively</w:t>
      </w:r>
      <w:r w:rsidR="00CE26DD">
        <w:rPr>
          <w:sz w:val="24"/>
          <w:szCs w:val="24"/>
          <w:lang w:val="ro-RO"/>
        </w:rPr>
        <w:t xml:space="preserve"> </w:t>
      </w:r>
      <w:r w:rsidR="00CE26DD" w:rsidRPr="00CE26DD">
        <w:rPr>
          <w:sz w:val="24"/>
          <w:szCs w:val="24"/>
          <w:lang w:val="ro-RO"/>
        </w:rPr>
        <w:t xml:space="preserve">higher than the national average of GVA in agriculture (3.9% compared to 2.7% at national level) reflects the favorable </w:t>
      </w:r>
      <w:r w:rsidR="00CD3817">
        <w:rPr>
          <w:sz w:val="24"/>
          <w:szCs w:val="24"/>
          <w:lang w:val="ro-RO"/>
        </w:rPr>
        <w:t>situation</w:t>
      </w:r>
      <w:r w:rsidR="00CE26DD" w:rsidRPr="00CE26DD">
        <w:rPr>
          <w:sz w:val="24"/>
          <w:szCs w:val="24"/>
          <w:lang w:val="ro-RO"/>
        </w:rPr>
        <w:t xml:space="preserve"> in terms of weather dependence of </w:t>
      </w:r>
      <w:r w:rsidR="00CE26DD">
        <w:rPr>
          <w:sz w:val="24"/>
          <w:szCs w:val="24"/>
          <w:lang w:val="ro-RO"/>
        </w:rPr>
        <w:t xml:space="preserve">the </w:t>
      </w:r>
      <w:r w:rsidR="00CE26DD" w:rsidRPr="00CE26DD">
        <w:rPr>
          <w:sz w:val="24"/>
          <w:szCs w:val="24"/>
          <w:lang w:val="ro-RO"/>
        </w:rPr>
        <w:t xml:space="preserve">activity (especially in Brăila </w:t>
      </w:r>
      <w:r w:rsidR="006824BC">
        <w:rPr>
          <w:sz w:val="24"/>
          <w:szCs w:val="24"/>
          <w:lang w:val="ro-RO"/>
        </w:rPr>
        <w:t>County</w:t>
      </w:r>
      <w:r w:rsidR="00CE26DD" w:rsidRPr="00CE26DD">
        <w:rPr>
          <w:sz w:val="24"/>
          <w:szCs w:val="24"/>
          <w:lang w:val="ro-RO"/>
        </w:rPr>
        <w:t xml:space="preserve">, </w:t>
      </w:r>
      <w:r w:rsidR="00CE26DD">
        <w:rPr>
          <w:sz w:val="24"/>
          <w:szCs w:val="24"/>
          <w:lang w:val="ro-RO"/>
        </w:rPr>
        <w:t xml:space="preserve">witch have </w:t>
      </w:r>
      <w:r w:rsidR="00CE26DD" w:rsidRPr="00CE26DD">
        <w:rPr>
          <w:sz w:val="24"/>
          <w:szCs w:val="24"/>
          <w:lang w:val="ro-RO"/>
        </w:rPr>
        <w:t xml:space="preserve">the largest share of land irrigated </w:t>
      </w:r>
      <w:r w:rsidR="00CE26DD">
        <w:rPr>
          <w:sz w:val="24"/>
          <w:szCs w:val="24"/>
          <w:lang w:val="ro-RO"/>
        </w:rPr>
        <w:t xml:space="preserve">from the </w:t>
      </w:r>
      <w:r w:rsidR="00CE26DD" w:rsidRPr="00CE26DD">
        <w:rPr>
          <w:sz w:val="24"/>
          <w:szCs w:val="24"/>
          <w:lang w:val="ro-RO"/>
        </w:rPr>
        <w:t xml:space="preserve">total arable land) but also lower transport costs for </w:t>
      </w:r>
      <w:r w:rsidR="00CE26DD">
        <w:rPr>
          <w:sz w:val="24"/>
          <w:szCs w:val="24"/>
          <w:lang w:val="ro-RO"/>
        </w:rPr>
        <w:t xml:space="preserve">the </w:t>
      </w:r>
      <w:r w:rsidR="00CE26DD" w:rsidRPr="00CE26DD">
        <w:rPr>
          <w:sz w:val="24"/>
          <w:szCs w:val="24"/>
          <w:lang w:val="ro-RO"/>
        </w:rPr>
        <w:t>exported production</w:t>
      </w:r>
      <w:r w:rsidR="00806A86">
        <w:rPr>
          <w:sz w:val="24"/>
          <w:szCs w:val="24"/>
          <w:lang w:val="ro-RO"/>
        </w:rPr>
        <w:t>.</w:t>
      </w:r>
      <w:r w:rsidR="00806A86" w:rsidRPr="00806A86">
        <w:t xml:space="preserve"> </w:t>
      </w:r>
      <w:r w:rsidR="00806A86" w:rsidRPr="00806A86">
        <w:rPr>
          <w:sz w:val="24"/>
          <w:szCs w:val="24"/>
          <w:lang w:val="ro-RO"/>
        </w:rPr>
        <w:t xml:space="preserve">The forecast for the services sector (+3.9%) took into account on the one hand the sufficiently untapped tourist potential in the Danube Delta but also </w:t>
      </w:r>
      <w:r w:rsidR="00806A86">
        <w:rPr>
          <w:sz w:val="24"/>
          <w:szCs w:val="24"/>
          <w:lang w:val="ro-RO"/>
        </w:rPr>
        <w:t>from</w:t>
      </w:r>
      <w:r w:rsidR="00806A86" w:rsidRPr="00806A86">
        <w:rPr>
          <w:sz w:val="24"/>
          <w:szCs w:val="24"/>
          <w:lang w:val="ro-RO"/>
        </w:rPr>
        <w:t xml:space="preserve"> the counties with mountainous regions</w:t>
      </w:r>
      <w:r w:rsidR="00437CE2">
        <w:rPr>
          <w:sz w:val="24"/>
          <w:szCs w:val="24"/>
          <w:lang w:val="ro-RO"/>
        </w:rPr>
        <w:t>.</w:t>
      </w:r>
      <w:r w:rsidR="00437CE2" w:rsidRPr="00437CE2">
        <w:t xml:space="preserve"> </w:t>
      </w:r>
      <w:r w:rsidR="00437CE2">
        <w:t xml:space="preserve">The </w:t>
      </w:r>
      <w:r w:rsidR="00437CE2">
        <w:rPr>
          <w:sz w:val="24"/>
          <w:szCs w:val="24"/>
          <w:lang w:val="ro-RO"/>
        </w:rPr>
        <w:t>g</w:t>
      </w:r>
      <w:r w:rsidR="00437CE2" w:rsidRPr="00437CE2">
        <w:rPr>
          <w:sz w:val="24"/>
          <w:szCs w:val="24"/>
          <w:lang w:val="ro-RO"/>
        </w:rPr>
        <w:t xml:space="preserve">rowth resources in the services sector come from provided services in particular </w:t>
      </w:r>
      <w:r w:rsidR="00437CE2">
        <w:rPr>
          <w:sz w:val="24"/>
          <w:szCs w:val="24"/>
          <w:lang w:val="ro-RO"/>
        </w:rPr>
        <w:t xml:space="preserve">from </w:t>
      </w:r>
      <w:r w:rsidR="00437CE2" w:rsidRPr="00437CE2">
        <w:rPr>
          <w:sz w:val="24"/>
          <w:szCs w:val="24"/>
          <w:lang w:val="ro-RO"/>
        </w:rPr>
        <w:t>transport</w:t>
      </w:r>
      <w:r w:rsidR="00437CE2">
        <w:rPr>
          <w:sz w:val="24"/>
          <w:szCs w:val="24"/>
          <w:lang w:val="ro-RO"/>
        </w:rPr>
        <w:t>.</w:t>
      </w:r>
      <w:r w:rsidR="008A14BE" w:rsidRPr="008A14BE">
        <w:t xml:space="preserve"> </w:t>
      </w:r>
      <w:r w:rsidR="008A14BE" w:rsidRPr="008A14BE">
        <w:rPr>
          <w:sz w:val="24"/>
          <w:szCs w:val="24"/>
          <w:lang w:val="ro-RO"/>
        </w:rPr>
        <w:t>As for the industry sector, it is expected to record an average annual dynamic of 3.5% of gross value added.</w:t>
      </w:r>
    </w:p>
    <w:p w:rsidR="00361D92" w:rsidRPr="00CA4121" w:rsidRDefault="00361D92" w:rsidP="00E34EB2">
      <w:pPr>
        <w:spacing w:after="120"/>
        <w:jc w:val="both"/>
        <w:rPr>
          <w:sz w:val="24"/>
          <w:szCs w:val="24"/>
          <w:lang w:val="ro-RO"/>
        </w:rPr>
      </w:pPr>
      <w:r w:rsidRPr="00361D92">
        <w:rPr>
          <w:sz w:val="24"/>
          <w:szCs w:val="24"/>
          <w:lang w:val="ro-RO"/>
        </w:rPr>
        <w:t xml:space="preserve">Due to the fact that in 2021 the economic activity continued to take place in pandemic conditions, including quarantine intervals at the local level, the recovery process of the regional economy will continue during </w:t>
      </w:r>
      <w:r w:rsidR="009300CF">
        <w:rPr>
          <w:sz w:val="24"/>
          <w:szCs w:val="24"/>
          <w:lang w:val="ro-RO"/>
        </w:rPr>
        <w:t xml:space="preserve">the year </w:t>
      </w:r>
      <w:r w:rsidRPr="00361D92">
        <w:rPr>
          <w:sz w:val="24"/>
          <w:szCs w:val="24"/>
          <w:lang w:val="ro-RO"/>
        </w:rPr>
        <w:t>2022.</w:t>
      </w:r>
      <w:r w:rsidR="00FF6387" w:rsidRPr="00FF6387">
        <w:t xml:space="preserve"> </w:t>
      </w:r>
      <w:r w:rsidR="00FF6387" w:rsidRPr="00FF6387">
        <w:rPr>
          <w:sz w:val="24"/>
          <w:szCs w:val="24"/>
          <w:lang w:val="ro-RO"/>
        </w:rPr>
        <w:t xml:space="preserve">It should also be noted that an important factor </w:t>
      </w:r>
      <w:r w:rsidR="0017254C">
        <w:rPr>
          <w:sz w:val="24"/>
          <w:szCs w:val="24"/>
          <w:lang w:val="ro-RO"/>
        </w:rPr>
        <w:t>limiting</w:t>
      </w:r>
      <w:r w:rsidR="00FF6387" w:rsidRPr="00FF6387">
        <w:rPr>
          <w:sz w:val="24"/>
          <w:szCs w:val="24"/>
          <w:lang w:val="ro-RO"/>
        </w:rPr>
        <w:t xml:space="preserve"> the competitiveness of the South East region is the low innovation capacity of the </w:t>
      </w:r>
      <w:r w:rsidR="0017254C" w:rsidRPr="00FF6387">
        <w:rPr>
          <w:sz w:val="24"/>
          <w:szCs w:val="24"/>
          <w:lang w:val="ro-RO"/>
        </w:rPr>
        <w:t xml:space="preserve">economy </w:t>
      </w:r>
      <w:r w:rsidR="00FF6387" w:rsidRPr="00FF6387">
        <w:rPr>
          <w:sz w:val="24"/>
          <w:szCs w:val="24"/>
          <w:lang w:val="ro-RO"/>
        </w:rPr>
        <w:t>"Regional Inn</w:t>
      </w:r>
      <w:r w:rsidR="0017254C">
        <w:rPr>
          <w:sz w:val="24"/>
          <w:szCs w:val="24"/>
          <w:lang w:val="ro-RO"/>
        </w:rPr>
        <w:t>ovation Scoreboard 2021",</w:t>
      </w:r>
      <w:r w:rsidR="00FF6387" w:rsidRPr="00FF6387">
        <w:rPr>
          <w:sz w:val="24"/>
          <w:szCs w:val="24"/>
          <w:lang w:val="ro-RO"/>
        </w:rPr>
        <w:t xml:space="preserve"> ranking the South East region as a modest innovator, the innovation performance decreasing by 2.7% in the period 2014-2021,</w:t>
      </w:r>
      <w:r w:rsidR="00CD3817">
        <w:rPr>
          <w:sz w:val="24"/>
          <w:szCs w:val="24"/>
          <w:lang w:val="ro-RO"/>
        </w:rPr>
        <w:t xml:space="preserve"> </w:t>
      </w:r>
      <w:r w:rsidR="00CF6EF2">
        <w:rPr>
          <w:sz w:val="24"/>
          <w:szCs w:val="24"/>
          <w:lang w:val="ro-RO"/>
        </w:rPr>
        <w:t>on</w:t>
      </w:r>
      <w:r w:rsidR="00FF6387" w:rsidRPr="00FF6387">
        <w:rPr>
          <w:sz w:val="24"/>
          <w:szCs w:val="24"/>
          <w:lang w:val="ro-RO"/>
        </w:rPr>
        <w:t xml:space="preserve"> the background of underfunding of the RDI sector but also of the insufficiently structured regional innovation ecosystem</w:t>
      </w:r>
      <w:r w:rsidR="0017254C">
        <w:rPr>
          <w:sz w:val="24"/>
          <w:szCs w:val="24"/>
          <w:lang w:val="ro-RO"/>
        </w:rPr>
        <w:t>.</w:t>
      </w:r>
      <w:r w:rsidR="00937BCA" w:rsidRPr="00937BCA">
        <w:t xml:space="preserve"> </w:t>
      </w:r>
      <w:r w:rsidR="00937BCA" w:rsidRPr="00937BCA">
        <w:rPr>
          <w:sz w:val="24"/>
          <w:szCs w:val="24"/>
          <w:lang w:val="ro-RO"/>
        </w:rPr>
        <w:t>Given that the South-East region is the only one open to the sea, this aspect offers the opportunity to develop maritime and river transport, but also related activities.</w:t>
      </w:r>
      <w:r w:rsidR="00937BCA" w:rsidRPr="00937BCA">
        <w:t xml:space="preserve"> </w:t>
      </w:r>
      <w:r w:rsidR="00937BCA" w:rsidRPr="00937BCA">
        <w:rPr>
          <w:sz w:val="24"/>
          <w:szCs w:val="24"/>
          <w:lang w:val="ro-RO"/>
        </w:rPr>
        <w:t xml:space="preserve">Investments are also needed to stimulate both the RDI field and the business environment, including by capitalizing the results of </w:t>
      </w:r>
      <w:r w:rsidR="00937BCA">
        <w:rPr>
          <w:sz w:val="24"/>
          <w:szCs w:val="24"/>
          <w:lang w:val="ro-RO"/>
        </w:rPr>
        <w:t xml:space="preserve">the </w:t>
      </w:r>
      <w:r w:rsidR="00937BCA" w:rsidRPr="00937BCA">
        <w:rPr>
          <w:sz w:val="24"/>
          <w:szCs w:val="24"/>
          <w:lang w:val="ro-RO"/>
        </w:rPr>
        <w:t>market research.</w:t>
      </w:r>
    </w:p>
    <w:p w:rsidR="00243EB1" w:rsidRPr="003126E1" w:rsidRDefault="00243EB1" w:rsidP="00C34249">
      <w:pPr>
        <w:spacing w:after="120"/>
        <w:jc w:val="both"/>
        <w:rPr>
          <w:sz w:val="24"/>
          <w:szCs w:val="24"/>
          <w:lang w:val="ro-RO"/>
        </w:rPr>
      </w:pPr>
      <w:r>
        <w:rPr>
          <w:sz w:val="24"/>
          <w:szCs w:val="24"/>
          <w:lang w:val="ro-RO"/>
        </w:rPr>
        <w:t>So far</w:t>
      </w:r>
      <w:r w:rsidRPr="00243EB1">
        <w:rPr>
          <w:sz w:val="24"/>
          <w:szCs w:val="24"/>
          <w:lang w:val="ro-RO"/>
        </w:rPr>
        <w:t xml:space="preserve"> as we can talk about a gap in </w:t>
      </w:r>
      <w:r>
        <w:rPr>
          <w:sz w:val="24"/>
          <w:szCs w:val="24"/>
          <w:lang w:val="ro-RO"/>
        </w:rPr>
        <w:t xml:space="preserve">the </w:t>
      </w:r>
      <w:r w:rsidRPr="00243EB1">
        <w:rPr>
          <w:sz w:val="24"/>
          <w:szCs w:val="24"/>
          <w:lang w:val="ro-RO"/>
        </w:rPr>
        <w:t xml:space="preserve">economic development, it can be noticed that Constanța </w:t>
      </w:r>
      <w:r w:rsidR="006824BC">
        <w:rPr>
          <w:sz w:val="24"/>
          <w:szCs w:val="24"/>
          <w:lang w:val="ro-RO"/>
        </w:rPr>
        <w:t>County</w:t>
      </w:r>
      <w:r w:rsidRPr="00243EB1">
        <w:rPr>
          <w:sz w:val="24"/>
          <w:szCs w:val="24"/>
          <w:lang w:val="ro-RO"/>
        </w:rPr>
        <w:t xml:space="preserve"> has the highest level of economic and social development with a value of GDP estimated at </w:t>
      </w:r>
      <w:r w:rsidR="00CD3817">
        <w:rPr>
          <w:sz w:val="24"/>
          <w:szCs w:val="24"/>
          <w:lang w:val="ro-RO"/>
        </w:rPr>
        <w:t>around</w:t>
      </w:r>
      <w:r w:rsidRPr="00243EB1">
        <w:rPr>
          <w:sz w:val="24"/>
          <w:szCs w:val="24"/>
          <w:lang w:val="ro-RO"/>
        </w:rPr>
        <w:t xml:space="preserve"> 65 billion lei in 2025 (GDP 5 times higher than Tulcea, the </w:t>
      </w:r>
      <w:r w:rsidR="006824BC">
        <w:rPr>
          <w:sz w:val="24"/>
          <w:szCs w:val="24"/>
          <w:lang w:val="ro-RO"/>
        </w:rPr>
        <w:t>County</w:t>
      </w:r>
      <w:r w:rsidRPr="00243EB1">
        <w:rPr>
          <w:sz w:val="24"/>
          <w:szCs w:val="24"/>
          <w:lang w:val="ro-RO"/>
        </w:rPr>
        <w:t xml:space="preserve"> ranked </w:t>
      </w:r>
      <w:r w:rsidR="002A5255">
        <w:rPr>
          <w:sz w:val="24"/>
          <w:szCs w:val="24"/>
          <w:lang w:val="ro-RO"/>
        </w:rPr>
        <w:t xml:space="preserve">at </w:t>
      </w:r>
      <w:r w:rsidRPr="00243EB1">
        <w:rPr>
          <w:sz w:val="24"/>
          <w:szCs w:val="24"/>
          <w:lang w:val="ro-RO"/>
        </w:rPr>
        <w:t>last).</w:t>
      </w:r>
      <w:r w:rsidR="00F4077E" w:rsidRPr="00F4077E">
        <w:t xml:space="preserve"> </w:t>
      </w:r>
      <w:r w:rsidR="00F4077E" w:rsidRPr="00F4077E">
        <w:rPr>
          <w:sz w:val="24"/>
          <w:szCs w:val="24"/>
          <w:lang w:val="ro-RO"/>
        </w:rPr>
        <w:t xml:space="preserve">Despite </w:t>
      </w:r>
      <w:r w:rsidR="00F4077E">
        <w:rPr>
          <w:sz w:val="24"/>
          <w:szCs w:val="24"/>
          <w:lang w:val="ro-RO"/>
        </w:rPr>
        <w:t xml:space="preserve">the </w:t>
      </w:r>
      <w:r w:rsidR="00F4077E" w:rsidRPr="00F4077E">
        <w:rPr>
          <w:sz w:val="24"/>
          <w:szCs w:val="24"/>
          <w:lang w:val="ro-RO"/>
        </w:rPr>
        <w:t xml:space="preserve">rising commodity prices and </w:t>
      </w:r>
      <w:r w:rsidR="00F4077E">
        <w:rPr>
          <w:sz w:val="24"/>
          <w:szCs w:val="24"/>
          <w:lang w:val="ro-RO"/>
        </w:rPr>
        <w:t xml:space="preserve">the </w:t>
      </w:r>
      <w:r w:rsidR="00F4077E" w:rsidRPr="00F4077E">
        <w:rPr>
          <w:sz w:val="24"/>
          <w:szCs w:val="24"/>
          <w:lang w:val="ro-RO"/>
        </w:rPr>
        <w:t>lack of qualified staff at the national level, major investment projects will lead to a high growth of the construction sector in the South-East region.</w:t>
      </w:r>
    </w:p>
    <w:p w:rsidR="00935EEE" w:rsidRPr="003126E1" w:rsidRDefault="00935EEE" w:rsidP="00E8432C">
      <w:pPr>
        <w:spacing w:after="120"/>
        <w:jc w:val="both"/>
        <w:rPr>
          <w:sz w:val="24"/>
          <w:szCs w:val="24"/>
          <w:lang w:val="ro-RO"/>
        </w:rPr>
      </w:pPr>
      <w:r w:rsidRPr="00935EEE">
        <w:rPr>
          <w:sz w:val="24"/>
          <w:szCs w:val="24"/>
          <w:lang w:val="ro-RO"/>
        </w:rPr>
        <w:t xml:space="preserve">The labor market will </w:t>
      </w:r>
      <w:r>
        <w:rPr>
          <w:sz w:val="24"/>
          <w:szCs w:val="24"/>
          <w:lang w:val="ro-RO"/>
        </w:rPr>
        <w:t>record</w:t>
      </w:r>
      <w:r w:rsidRPr="00935EEE">
        <w:rPr>
          <w:sz w:val="24"/>
          <w:szCs w:val="24"/>
          <w:lang w:val="ro-RO"/>
        </w:rPr>
        <w:t xml:space="preserve"> a positive evolution as in the case of the North-East region, the structure improving in favor of employment in the form of wages, especially due to lower quality forms such as employment in agriculture.</w:t>
      </w:r>
      <w:r w:rsidR="003C2BDB" w:rsidRPr="003C2BDB">
        <w:t xml:space="preserve"> </w:t>
      </w:r>
      <w:r w:rsidR="003C2BDB" w:rsidRPr="003C2BDB">
        <w:rPr>
          <w:sz w:val="24"/>
          <w:szCs w:val="24"/>
          <w:lang w:val="ro-RO"/>
        </w:rPr>
        <w:t>The employed civilian population will have positive dynamics, but slightly below the national average.</w:t>
      </w:r>
      <w:r w:rsidR="00DB614D" w:rsidRPr="00DB614D">
        <w:t xml:space="preserve"> </w:t>
      </w:r>
      <w:r w:rsidR="00DB614D">
        <w:rPr>
          <w:sz w:val="24"/>
          <w:szCs w:val="24"/>
          <w:lang w:val="ro-RO"/>
        </w:rPr>
        <w:t>H</w:t>
      </w:r>
      <w:r w:rsidR="00DB614D" w:rsidRPr="00DB614D">
        <w:rPr>
          <w:sz w:val="24"/>
          <w:szCs w:val="24"/>
          <w:lang w:val="ro-RO"/>
        </w:rPr>
        <w:t xml:space="preserve">owever, </w:t>
      </w:r>
      <w:r w:rsidR="00DB614D">
        <w:rPr>
          <w:sz w:val="24"/>
          <w:szCs w:val="24"/>
          <w:lang w:val="ro-RO"/>
        </w:rPr>
        <w:t>the average number of employees</w:t>
      </w:r>
      <w:r w:rsidR="00DB614D" w:rsidRPr="00DB614D">
        <w:rPr>
          <w:sz w:val="24"/>
          <w:szCs w:val="24"/>
          <w:lang w:val="ro-RO"/>
        </w:rPr>
        <w:t xml:space="preserve"> is forecast</w:t>
      </w:r>
      <w:r w:rsidR="002A5255">
        <w:rPr>
          <w:sz w:val="24"/>
          <w:szCs w:val="24"/>
          <w:lang w:val="ro-RO"/>
        </w:rPr>
        <w:t>ed</w:t>
      </w:r>
      <w:r w:rsidR="00DB614D" w:rsidRPr="00DB614D">
        <w:rPr>
          <w:sz w:val="24"/>
          <w:szCs w:val="24"/>
          <w:lang w:val="ro-RO"/>
        </w:rPr>
        <w:t xml:space="preserve"> at 592.3 thousand people in 2025 compared to 547.9 thousand people in 2021 (+ 8.1%).</w:t>
      </w:r>
      <w:r w:rsidR="004A602F" w:rsidRPr="004A602F">
        <w:t xml:space="preserve"> </w:t>
      </w:r>
      <w:r w:rsidR="004A602F" w:rsidRPr="004A602F">
        <w:rPr>
          <w:sz w:val="24"/>
          <w:szCs w:val="24"/>
          <w:lang w:val="ro-RO"/>
        </w:rPr>
        <w:t>The unemployment rate will reach 3.5% by the end of 2025 compared to 4.0% in 2021</w:t>
      </w:r>
      <w:r w:rsidR="004A602F">
        <w:rPr>
          <w:sz w:val="24"/>
          <w:szCs w:val="24"/>
          <w:lang w:val="ro-RO"/>
        </w:rPr>
        <w:t>.</w:t>
      </w:r>
      <w:r w:rsidR="005768C3">
        <w:rPr>
          <w:sz w:val="24"/>
          <w:szCs w:val="24"/>
          <w:lang w:val="ro-RO"/>
        </w:rPr>
        <w:t xml:space="preserve"> The</w:t>
      </w:r>
      <w:r w:rsidR="005768C3" w:rsidRPr="005768C3">
        <w:t xml:space="preserve"> </w:t>
      </w:r>
      <w:r w:rsidR="005768C3">
        <w:rPr>
          <w:sz w:val="24"/>
          <w:szCs w:val="24"/>
          <w:lang w:val="ro-RO"/>
        </w:rPr>
        <w:t>n</w:t>
      </w:r>
      <w:r w:rsidR="005768C3" w:rsidRPr="005768C3">
        <w:rPr>
          <w:sz w:val="24"/>
          <w:szCs w:val="24"/>
          <w:lang w:val="ro-RO"/>
        </w:rPr>
        <w:t>et earnings will have positive dynamics in line with changes in</w:t>
      </w:r>
      <w:r w:rsidR="00601483">
        <w:rPr>
          <w:sz w:val="24"/>
          <w:szCs w:val="24"/>
          <w:lang w:val="ro-RO"/>
        </w:rPr>
        <w:t xml:space="preserve"> the</w:t>
      </w:r>
      <w:r w:rsidR="005768C3" w:rsidRPr="005768C3">
        <w:rPr>
          <w:sz w:val="24"/>
          <w:szCs w:val="24"/>
          <w:lang w:val="ro-RO"/>
        </w:rPr>
        <w:t xml:space="preserve"> gross value added.</w:t>
      </w:r>
    </w:p>
    <w:p w:rsidR="001C78ED" w:rsidRDefault="006A65DA" w:rsidP="00DE503D">
      <w:pPr>
        <w:spacing w:after="120"/>
        <w:jc w:val="both"/>
        <w:rPr>
          <w:sz w:val="24"/>
          <w:szCs w:val="24"/>
          <w:lang w:val="ro-RO"/>
        </w:rPr>
      </w:pPr>
      <w:r w:rsidRPr="006A65DA">
        <w:rPr>
          <w:sz w:val="24"/>
          <w:szCs w:val="24"/>
          <w:lang w:val="ro-RO"/>
        </w:rPr>
        <w:lastRenderedPageBreak/>
        <w:t xml:space="preserve">For </w:t>
      </w:r>
      <w:r w:rsidR="00E2358D">
        <w:rPr>
          <w:b/>
          <w:sz w:val="24"/>
          <w:szCs w:val="24"/>
          <w:lang w:val="ro-RO"/>
        </w:rPr>
        <w:t>the South-</w:t>
      </w:r>
      <w:r w:rsidRPr="00602A70">
        <w:rPr>
          <w:b/>
          <w:sz w:val="24"/>
          <w:szCs w:val="24"/>
          <w:lang w:val="ro-RO"/>
        </w:rPr>
        <w:t>Muntenia region</w:t>
      </w:r>
      <w:r w:rsidRPr="006A65DA">
        <w:rPr>
          <w:sz w:val="24"/>
          <w:szCs w:val="24"/>
          <w:lang w:val="ro-RO"/>
        </w:rPr>
        <w:t>, is forecast</w:t>
      </w:r>
      <w:r>
        <w:rPr>
          <w:sz w:val="24"/>
          <w:szCs w:val="24"/>
          <w:lang w:val="ro-RO"/>
        </w:rPr>
        <w:t>ed</w:t>
      </w:r>
      <w:r w:rsidRPr="006A65DA">
        <w:rPr>
          <w:sz w:val="24"/>
          <w:szCs w:val="24"/>
          <w:lang w:val="ro-RO"/>
        </w:rPr>
        <w:t xml:space="preserve"> a growth of the GDP in the next period slightly below the national average (4.5% on average every year compared to 4.9% at national level).</w:t>
      </w:r>
      <w:r w:rsidR="001C78ED" w:rsidRPr="001C78ED">
        <w:t xml:space="preserve"> </w:t>
      </w:r>
      <w:r w:rsidR="001C78ED">
        <w:t xml:space="preserve">The </w:t>
      </w:r>
      <w:r w:rsidR="001C78ED">
        <w:rPr>
          <w:sz w:val="24"/>
          <w:szCs w:val="24"/>
          <w:lang w:val="ro-RO"/>
        </w:rPr>
        <w:t>g</w:t>
      </w:r>
      <w:r w:rsidR="001C78ED" w:rsidRPr="001C78ED">
        <w:rPr>
          <w:sz w:val="24"/>
          <w:szCs w:val="24"/>
          <w:lang w:val="ro-RO"/>
        </w:rPr>
        <w:t xml:space="preserve">rowth is supported by construction (7.6%) while industry (5.3%) is affected by the extractive component of structural changes in the Green-Deal instrument as well as by higher prices, and </w:t>
      </w:r>
      <w:r w:rsidR="001C78ED">
        <w:rPr>
          <w:sz w:val="24"/>
          <w:szCs w:val="24"/>
          <w:lang w:val="ro-RO"/>
        </w:rPr>
        <w:t xml:space="preserve">by </w:t>
      </w:r>
      <w:r w:rsidR="001C78ED" w:rsidRPr="001C78ED">
        <w:rPr>
          <w:sz w:val="24"/>
          <w:szCs w:val="24"/>
          <w:lang w:val="ro-RO"/>
        </w:rPr>
        <w:t xml:space="preserve">the manufacturing component of the automotive industry and </w:t>
      </w:r>
      <w:r w:rsidR="001C78ED">
        <w:rPr>
          <w:sz w:val="24"/>
          <w:szCs w:val="24"/>
          <w:lang w:val="ro-RO"/>
        </w:rPr>
        <w:t xml:space="preserve">his </w:t>
      </w:r>
      <w:r w:rsidR="00E22BE8">
        <w:rPr>
          <w:sz w:val="24"/>
          <w:szCs w:val="24"/>
          <w:lang w:val="ro-RO"/>
        </w:rPr>
        <w:t>components</w:t>
      </w:r>
      <w:r w:rsidR="001C78ED">
        <w:rPr>
          <w:sz w:val="24"/>
          <w:szCs w:val="24"/>
          <w:lang w:val="ro-RO"/>
        </w:rPr>
        <w:t>.</w:t>
      </w:r>
      <w:r w:rsidR="00E22BE8" w:rsidRPr="00E22BE8">
        <w:t xml:space="preserve"> </w:t>
      </w:r>
      <w:r w:rsidR="00E22BE8" w:rsidRPr="00E22BE8">
        <w:rPr>
          <w:sz w:val="24"/>
          <w:szCs w:val="24"/>
          <w:lang w:val="ro-RO"/>
        </w:rPr>
        <w:t>In terms of services, in 2022-2025 they will record an average annual rate of gross value added of 3.8%.</w:t>
      </w:r>
      <w:r w:rsidR="00983DB3">
        <w:t xml:space="preserve"> In </w:t>
      </w:r>
      <w:r w:rsidR="00983DB3">
        <w:rPr>
          <w:sz w:val="24"/>
          <w:szCs w:val="24"/>
          <w:lang w:val="ro-RO"/>
        </w:rPr>
        <w:t>t</w:t>
      </w:r>
      <w:r w:rsidR="00983DB3" w:rsidRPr="00983DB3">
        <w:rPr>
          <w:sz w:val="24"/>
          <w:szCs w:val="24"/>
          <w:lang w:val="ro-RO"/>
        </w:rPr>
        <w:t>he agricultural sector is expected to record an average annual growth rate of 1.5% of gross value added.</w:t>
      </w:r>
    </w:p>
    <w:p w:rsidR="00122BE8" w:rsidRPr="00CA4121" w:rsidRDefault="00122BE8" w:rsidP="00DE503D">
      <w:pPr>
        <w:spacing w:after="120"/>
        <w:jc w:val="both"/>
        <w:rPr>
          <w:sz w:val="24"/>
          <w:szCs w:val="24"/>
        </w:rPr>
      </w:pPr>
      <w:r w:rsidRPr="00122BE8">
        <w:rPr>
          <w:sz w:val="24"/>
          <w:szCs w:val="24"/>
        </w:rPr>
        <w:t>The contribution of the seven counties to the formation of regional GDP highlights the gap between the economic performance of the counties in the north of the region, specialized in industry, compared to those in the south of the region, whose economy is significantly influenced by the evolution of the agricultural sector.</w:t>
      </w:r>
      <w:r w:rsidRPr="00122BE8">
        <w:t xml:space="preserve"> </w:t>
      </w:r>
      <w:r w:rsidRPr="00122BE8">
        <w:rPr>
          <w:sz w:val="24"/>
          <w:szCs w:val="24"/>
        </w:rPr>
        <w:t xml:space="preserve">Thus, the </w:t>
      </w:r>
      <w:r>
        <w:rPr>
          <w:sz w:val="24"/>
          <w:szCs w:val="24"/>
        </w:rPr>
        <w:t>t</w:t>
      </w:r>
      <w:r w:rsidR="008236FB">
        <w:rPr>
          <w:sz w:val="24"/>
          <w:szCs w:val="24"/>
        </w:rPr>
        <w:t>h</w:t>
      </w:r>
      <w:r>
        <w:rPr>
          <w:sz w:val="24"/>
          <w:szCs w:val="24"/>
        </w:rPr>
        <w:t>ree</w:t>
      </w:r>
      <w:r w:rsidRPr="00122BE8">
        <w:rPr>
          <w:sz w:val="24"/>
          <w:szCs w:val="24"/>
        </w:rPr>
        <w:t xml:space="preserve"> counties in the north of the region (Prahova, Argeș and Dâmbovița) have a major contribution </w:t>
      </w:r>
      <w:r>
        <w:rPr>
          <w:sz w:val="24"/>
          <w:szCs w:val="24"/>
        </w:rPr>
        <w:t>to the total</w:t>
      </w:r>
      <w:r w:rsidRPr="00122BE8">
        <w:rPr>
          <w:sz w:val="24"/>
          <w:szCs w:val="24"/>
        </w:rPr>
        <w:t xml:space="preserve"> achievement of regional GDP, while the rest of the </w:t>
      </w:r>
      <w:r>
        <w:rPr>
          <w:sz w:val="24"/>
          <w:szCs w:val="24"/>
        </w:rPr>
        <w:t>four</w:t>
      </w:r>
      <w:r w:rsidRPr="00122BE8">
        <w:rPr>
          <w:sz w:val="24"/>
          <w:szCs w:val="24"/>
        </w:rPr>
        <w:t xml:space="preserve"> counties in the south of the region (Teleorman, Ialomița</w:t>
      </w:r>
      <w:r w:rsidR="0068025E">
        <w:rPr>
          <w:sz w:val="24"/>
          <w:szCs w:val="24"/>
        </w:rPr>
        <w:t>,</w:t>
      </w:r>
      <w:r w:rsidRPr="00122BE8">
        <w:rPr>
          <w:sz w:val="24"/>
          <w:szCs w:val="24"/>
        </w:rPr>
        <w:t xml:space="preserve"> Giurgiu and Călărași), have a</w:t>
      </w:r>
      <w:r w:rsidR="00B47AA5" w:rsidRPr="00B47AA5">
        <w:rPr>
          <w:sz w:val="24"/>
          <w:szCs w:val="24"/>
        </w:rPr>
        <w:t xml:space="preserve"> </w:t>
      </w:r>
      <w:r w:rsidR="00B47AA5" w:rsidRPr="00122BE8">
        <w:rPr>
          <w:sz w:val="24"/>
          <w:szCs w:val="24"/>
        </w:rPr>
        <w:t xml:space="preserve">reduced </w:t>
      </w:r>
      <w:r w:rsidRPr="00122BE8">
        <w:rPr>
          <w:sz w:val="24"/>
          <w:szCs w:val="24"/>
        </w:rPr>
        <w:t>contribution to regional GDP.</w:t>
      </w:r>
    </w:p>
    <w:p w:rsidR="004157BC" w:rsidRPr="00CA4121" w:rsidRDefault="004157BC" w:rsidP="00DE503D">
      <w:pPr>
        <w:spacing w:after="120"/>
        <w:jc w:val="both"/>
        <w:rPr>
          <w:sz w:val="24"/>
          <w:szCs w:val="24"/>
          <w:lang w:val="it-IT"/>
        </w:rPr>
      </w:pPr>
      <w:r w:rsidRPr="004157BC">
        <w:rPr>
          <w:sz w:val="24"/>
          <w:szCs w:val="24"/>
          <w:lang w:val="it-IT"/>
        </w:rPr>
        <w:t>The analysis of the sectoral structure of regional GVA illustrates that the weights of the main sectors of activity will have, in the period 2022-2025, different evolutions and highlights the gradual transition of the region.</w:t>
      </w:r>
      <w:r w:rsidR="00F63EBD" w:rsidRPr="00F63EBD">
        <w:t xml:space="preserve"> </w:t>
      </w:r>
      <w:r w:rsidR="00F63EBD" w:rsidRPr="00F63EBD">
        <w:rPr>
          <w:sz w:val="24"/>
          <w:szCs w:val="24"/>
          <w:lang w:val="it-IT"/>
        </w:rPr>
        <w:t xml:space="preserve">Thus, the </w:t>
      </w:r>
      <w:r w:rsidR="0068025E">
        <w:rPr>
          <w:sz w:val="24"/>
          <w:szCs w:val="24"/>
          <w:lang w:val="it-IT"/>
        </w:rPr>
        <w:t>a</w:t>
      </w:r>
      <w:r w:rsidR="00F63EBD" w:rsidRPr="00F63EBD">
        <w:rPr>
          <w:sz w:val="24"/>
          <w:szCs w:val="24"/>
          <w:lang w:val="it-IT"/>
        </w:rPr>
        <w:t>griculture sector will register a decrease in the share of regional GVA in 2022 and will remain approximately on the same forecast line in the next period.</w:t>
      </w:r>
      <w:r w:rsidR="00A0016A" w:rsidRPr="00A0016A">
        <w:t xml:space="preserve"> </w:t>
      </w:r>
      <w:r w:rsidR="00A0016A" w:rsidRPr="00A0016A">
        <w:rPr>
          <w:sz w:val="24"/>
          <w:szCs w:val="24"/>
          <w:lang w:val="it-IT"/>
        </w:rPr>
        <w:t xml:space="preserve">Also, the </w:t>
      </w:r>
      <w:r w:rsidR="0068025E">
        <w:rPr>
          <w:sz w:val="24"/>
          <w:szCs w:val="24"/>
          <w:lang w:val="it-IT"/>
        </w:rPr>
        <w:t>i</w:t>
      </w:r>
      <w:r w:rsidR="00A0016A" w:rsidRPr="00A0016A">
        <w:rPr>
          <w:sz w:val="24"/>
          <w:szCs w:val="24"/>
          <w:lang w:val="it-IT"/>
        </w:rPr>
        <w:t>ndustry sector will register a slight increase in the share of regional GVA in 2023 and 2024.</w:t>
      </w:r>
      <w:r w:rsidR="00A0016A" w:rsidRPr="00A0016A">
        <w:t xml:space="preserve"> </w:t>
      </w:r>
      <w:r w:rsidR="00A0016A" w:rsidRPr="00A0016A">
        <w:rPr>
          <w:sz w:val="24"/>
          <w:szCs w:val="24"/>
          <w:lang w:val="it-IT"/>
        </w:rPr>
        <w:t xml:space="preserve">The </w:t>
      </w:r>
      <w:r w:rsidR="0068025E">
        <w:rPr>
          <w:sz w:val="24"/>
          <w:szCs w:val="24"/>
          <w:lang w:val="it-IT"/>
        </w:rPr>
        <w:t>c</w:t>
      </w:r>
      <w:r w:rsidR="00A0016A" w:rsidRPr="00A0016A">
        <w:rPr>
          <w:sz w:val="24"/>
          <w:szCs w:val="24"/>
          <w:lang w:val="it-IT"/>
        </w:rPr>
        <w:t>onstruction sector will have an upward trend over the entire forecast</w:t>
      </w:r>
      <w:r w:rsidR="00A83489">
        <w:rPr>
          <w:sz w:val="24"/>
          <w:szCs w:val="24"/>
          <w:lang w:val="it-IT"/>
        </w:rPr>
        <w:t>ed</w:t>
      </w:r>
      <w:r w:rsidR="00A0016A" w:rsidRPr="00A0016A">
        <w:rPr>
          <w:sz w:val="24"/>
          <w:szCs w:val="24"/>
          <w:lang w:val="it-IT"/>
        </w:rPr>
        <w:t xml:space="preserve"> period.</w:t>
      </w:r>
      <w:r w:rsidR="003167BE" w:rsidRPr="003167BE">
        <w:t xml:space="preserve"> </w:t>
      </w:r>
      <w:r w:rsidR="003167BE" w:rsidRPr="003167BE">
        <w:rPr>
          <w:sz w:val="24"/>
          <w:szCs w:val="24"/>
          <w:lang w:val="it-IT"/>
        </w:rPr>
        <w:t>The contribution of some of the sectors, such as industry and construction, to the formation of GVA will help to shape the economic profile of the region, emphasizing the importance of these sectors in the regional economy.</w:t>
      </w:r>
    </w:p>
    <w:p w:rsidR="00403C41" w:rsidRPr="00CA4121" w:rsidRDefault="00403C41" w:rsidP="00DE503D">
      <w:pPr>
        <w:spacing w:after="120"/>
        <w:jc w:val="both"/>
        <w:rPr>
          <w:sz w:val="24"/>
          <w:szCs w:val="24"/>
        </w:rPr>
      </w:pPr>
      <w:r w:rsidRPr="00403C41">
        <w:rPr>
          <w:sz w:val="24"/>
          <w:szCs w:val="24"/>
        </w:rPr>
        <w:t>The economic structure of the seven counties is complex, and the weights of the branches of activity are different</w:t>
      </w:r>
      <w:r>
        <w:rPr>
          <w:sz w:val="24"/>
          <w:szCs w:val="24"/>
        </w:rPr>
        <w:t>.</w:t>
      </w:r>
      <w:r w:rsidRPr="00403C41">
        <w:t xml:space="preserve"> </w:t>
      </w:r>
      <w:r w:rsidRPr="00403C41">
        <w:rPr>
          <w:sz w:val="24"/>
          <w:szCs w:val="24"/>
        </w:rPr>
        <w:t>Thus, in Prahova and Argeș counties,</w:t>
      </w:r>
      <w:r>
        <w:rPr>
          <w:sz w:val="24"/>
          <w:szCs w:val="24"/>
        </w:rPr>
        <w:t xml:space="preserve"> </w:t>
      </w:r>
      <w:r w:rsidR="005D4094">
        <w:rPr>
          <w:sz w:val="24"/>
          <w:szCs w:val="24"/>
        </w:rPr>
        <w:t>the</w:t>
      </w:r>
      <w:r w:rsidRPr="00403C41">
        <w:rPr>
          <w:sz w:val="24"/>
          <w:szCs w:val="24"/>
        </w:rPr>
        <w:t xml:space="preserve"> industry predominates, while in Călărași and Ialomița the most developed branch is</w:t>
      </w:r>
      <w:r w:rsidR="00546F20">
        <w:rPr>
          <w:sz w:val="24"/>
          <w:szCs w:val="24"/>
        </w:rPr>
        <w:t xml:space="preserve"> </w:t>
      </w:r>
      <w:r w:rsidRPr="00403C41">
        <w:rPr>
          <w:sz w:val="24"/>
          <w:szCs w:val="24"/>
        </w:rPr>
        <w:t>agriculture.</w:t>
      </w:r>
    </w:p>
    <w:p w:rsidR="008356D5" w:rsidRPr="00CA4121" w:rsidRDefault="008356D5" w:rsidP="00DE503D">
      <w:pPr>
        <w:spacing w:after="120"/>
        <w:jc w:val="both"/>
        <w:rPr>
          <w:sz w:val="24"/>
          <w:szCs w:val="24"/>
        </w:rPr>
      </w:pPr>
      <w:r w:rsidRPr="008356D5">
        <w:rPr>
          <w:sz w:val="24"/>
          <w:szCs w:val="24"/>
        </w:rPr>
        <w:t>The location of the region on the route of important transport corridors, the diversified profile of the industry, the existence of natural resources, as well as a well-defined tourist offer have attracted to the South Muntenia region an important percentage of the total investments.</w:t>
      </w:r>
    </w:p>
    <w:p w:rsidR="00E53D23" w:rsidRPr="00CA4121" w:rsidRDefault="00E53D23" w:rsidP="00DE503D">
      <w:pPr>
        <w:spacing w:after="120"/>
        <w:jc w:val="both"/>
        <w:rPr>
          <w:sz w:val="24"/>
          <w:szCs w:val="24"/>
        </w:rPr>
      </w:pPr>
      <w:r w:rsidRPr="00E53D23">
        <w:rPr>
          <w:sz w:val="24"/>
          <w:szCs w:val="24"/>
        </w:rPr>
        <w:t>The region is at the top of the performances registered at national level in the manufacturing industry, and this is mainly due to the counties of Argeş and Prahova.</w:t>
      </w:r>
      <w:r w:rsidRPr="00E53D23">
        <w:t xml:space="preserve"> </w:t>
      </w:r>
      <w:r w:rsidRPr="00E53D23">
        <w:rPr>
          <w:sz w:val="24"/>
          <w:szCs w:val="24"/>
        </w:rPr>
        <w:t xml:space="preserve">The most relevant manufacturing industries in these two counties, but also at regional level, are: The automotive industry, represented by the Dacia-Renault plants, located in Mioveni, Argeș </w:t>
      </w:r>
      <w:r w:rsidR="006824BC">
        <w:rPr>
          <w:sz w:val="24"/>
          <w:szCs w:val="24"/>
        </w:rPr>
        <w:t>County</w:t>
      </w:r>
      <w:r w:rsidRPr="00E53D23">
        <w:rPr>
          <w:sz w:val="24"/>
          <w:szCs w:val="24"/>
        </w:rPr>
        <w:t xml:space="preserve">; Machine </w:t>
      </w:r>
      <w:r w:rsidRPr="00E53D23">
        <w:rPr>
          <w:sz w:val="24"/>
          <w:szCs w:val="24"/>
        </w:rPr>
        <w:lastRenderedPageBreak/>
        <w:t xml:space="preserve">building industry; The petrochemical industry, represented by the existing refineries in Prahova </w:t>
      </w:r>
      <w:r w:rsidR="006824BC">
        <w:rPr>
          <w:sz w:val="24"/>
          <w:szCs w:val="24"/>
        </w:rPr>
        <w:t>County</w:t>
      </w:r>
      <w:r w:rsidRPr="00E53D23">
        <w:rPr>
          <w:sz w:val="24"/>
          <w:szCs w:val="24"/>
        </w:rPr>
        <w:t xml:space="preserve">, </w:t>
      </w:r>
      <w:r w:rsidR="008F35A9">
        <w:rPr>
          <w:sz w:val="24"/>
          <w:szCs w:val="24"/>
        </w:rPr>
        <w:t>T</w:t>
      </w:r>
      <w:r w:rsidRPr="00E53D23">
        <w:rPr>
          <w:sz w:val="24"/>
          <w:szCs w:val="24"/>
        </w:rPr>
        <w:t>he metal construction industry and metal products; Textile industry; Food industry.</w:t>
      </w:r>
    </w:p>
    <w:p w:rsidR="00186F08" w:rsidRPr="00CA4121" w:rsidRDefault="00186F08" w:rsidP="00E8432C">
      <w:pPr>
        <w:spacing w:after="120"/>
        <w:jc w:val="both"/>
        <w:rPr>
          <w:sz w:val="24"/>
          <w:szCs w:val="24"/>
        </w:rPr>
      </w:pPr>
      <w:r w:rsidRPr="00186F08">
        <w:rPr>
          <w:sz w:val="24"/>
          <w:szCs w:val="24"/>
        </w:rPr>
        <w:t>After the big decrease in 2021, the civilian employed population will register annual increases but smaller than those registered at national level, so that in 2025 it will be 1104.3 thousand people, 3.7% above the level of 2020, and the average number of employees is forecast</w:t>
      </w:r>
      <w:r>
        <w:rPr>
          <w:sz w:val="24"/>
          <w:szCs w:val="24"/>
        </w:rPr>
        <w:t>ed</w:t>
      </w:r>
      <w:r w:rsidRPr="00186F08">
        <w:rPr>
          <w:sz w:val="24"/>
          <w:szCs w:val="24"/>
        </w:rPr>
        <w:t xml:space="preserve"> to increase by 9.9% cumulated over the entire forecast</w:t>
      </w:r>
      <w:r w:rsidR="00BA0800">
        <w:rPr>
          <w:sz w:val="24"/>
          <w:szCs w:val="24"/>
        </w:rPr>
        <w:t>ed</w:t>
      </w:r>
      <w:r w:rsidRPr="00186F08">
        <w:rPr>
          <w:sz w:val="24"/>
          <w:szCs w:val="24"/>
        </w:rPr>
        <w:t xml:space="preserve"> horizon</w:t>
      </w:r>
      <w:r>
        <w:rPr>
          <w:sz w:val="24"/>
          <w:szCs w:val="24"/>
        </w:rPr>
        <w:t>.</w:t>
      </w:r>
      <w:r w:rsidR="00487D5A" w:rsidRPr="00487D5A">
        <w:t xml:space="preserve"> </w:t>
      </w:r>
      <w:r w:rsidR="00487D5A" w:rsidRPr="00487D5A">
        <w:rPr>
          <w:sz w:val="24"/>
          <w:szCs w:val="24"/>
        </w:rPr>
        <w:t>The number of unemployed will have a downward trajectory, so that the unemployment rate will reach 3.1% at the end of 2025, the lowest</w:t>
      </w:r>
      <w:r w:rsidR="00487D5A">
        <w:rPr>
          <w:sz w:val="24"/>
          <w:szCs w:val="24"/>
        </w:rPr>
        <w:t xml:space="preserve"> rate</w:t>
      </w:r>
      <w:r w:rsidR="00487D5A" w:rsidRPr="00487D5A">
        <w:rPr>
          <w:sz w:val="24"/>
          <w:szCs w:val="24"/>
        </w:rPr>
        <w:t xml:space="preserve"> of the regions in the eastern part of Romania.</w:t>
      </w:r>
      <w:r w:rsidR="00BC003A" w:rsidRPr="00BC003A">
        <w:t xml:space="preserve"> </w:t>
      </w:r>
      <w:r w:rsidR="00BC003A" w:rsidRPr="00BC003A">
        <w:rPr>
          <w:sz w:val="24"/>
          <w:szCs w:val="24"/>
        </w:rPr>
        <w:t xml:space="preserve">As in all regions, </w:t>
      </w:r>
      <w:r w:rsidR="00BC003A">
        <w:rPr>
          <w:sz w:val="24"/>
          <w:szCs w:val="24"/>
        </w:rPr>
        <w:t xml:space="preserve">the </w:t>
      </w:r>
      <w:r w:rsidR="00BC003A" w:rsidRPr="00BC003A">
        <w:rPr>
          <w:sz w:val="24"/>
          <w:szCs w:val="24"/>
        </w:rPr>
        <w:t>earnings will have positive dynamics, but slightly below the dynamics forecast</w:t>
      </w:r>
      <w:r w:rsidR="00BC003A">
        <w:rPr>
          <w:sz w:val="24"/>
          <w:szCs w:val="24"/>
        </w:rPr>
        <w:t>ed</w:t>
      </w:r>
      <w:r w:rsidR="00BC003A" w:rsidRPr="00BC003A">
        <w:rPr>
          <w:sz w:val="24"/>
          <w:szCs w:val="24"/>
        </w:rPr>
        <w:t xml:space="preserve"> at the national level, due to the relatively high share in this region of some counties with low value-added</w:t>
      </w:r>
      <w:r w:rsidR="008F3E64" w:rsidRPr="008F3E64">
        <w:rPr>
          <w:sz w:val="24"/>
          <w:szCs w:val="24"/>
        </w:rPr>
        <w:t xml:space="preserve"> </w:t>
      </w:r>
      <w:r w:rsidR="008F3E64" w:rsidRPr="00BC003A">
        <w:rPr>
          <w:sz w:val="24"/>
          <w:szCs w:val="24"/>
        </w:rPr>
        <w:t>production</w:t>
      </w:r>
      <w:r w:rsidR="00BC003A" w:rsidRPr="00BC003A">
        <w:rPr>
          <w:sz w:val="24"/>
          <w:szCs w:val="24"/>
        </w:rPr>
        <w:t>.</w:t>
      </w:r>
    </w:p>
    <w:p w:rsidR="007B6036" w:rsidRPr="003126E1" w:rsidRDefault="007B6036" w:rsidP="00E8432C">
      <w:pPr>
        <w:tabs>
          <w:tab w:val="left" w:pos="0"/>
        </w:tabs>
        <w:spacing w:after="120"/>
        <w:jc w:val="both"/>
        <w:rPr>
          <w:sz w:val="24"/>
          <w:szCs w:val="24"/>
          <w:lang w:val="ro-RO"/>
        </w:rPr>
      </w:pPr>
      <w:r w:rsidRPr="007B6036">
        <w:rPr>
          <w:sz w:val="24"/>
          <w:szCs w:val="24"/>
          <w:lang w:val="ro-RO"/>
        </w:rPr>
        <w:t xml:space="preserve">For </w:t>
      </w:r>
      <w:r w:rsidRPr="003272E7">
        <w:rPr>
          <w:b/>
          <w:sz w:val="24"/>
          <w:szCs w:val="24"/>
          <w:lang w:val="ro-RO"/>
        </w:rPr>
        <w:t>the South-West Oltenia region</w:t>
      </w:r>
      <w:r w:rsidRPr="007B6036">
        <w:rPr>
          <w:sz w:val="24"/>
          <w:szCs w:val="24"/>
          <w:lang w:val="ro-RO"/>
        </w:rPr>
        <w:t xml:space="preserve"> </w:t>
      </w:r>
      <w:r w:rsidR="0068025E">
        <w:rPr>
          <w:sz w:val="24"/>
          <w:szCs w:val="24"/>
          <w:lang w:val="ro-RO"/>
        </w:rPr>
        <w:t xml:space="preserve">it </w:t>
      </w:r>
      <w:r w:rsidRPr="007B6036">
        <w:rPr>
          <w:sz w:val="24"/>
          <w:szCs w:val="24"/>
          <w:lang w:val="ro-RO"/>
        </w:rPr>
        <w:t>is projected over the entire forecast horizon, an average real annual GDP growth of 4.2%, based on industry, construction and services.</w:t>
      </w:r>
      <w:r w:rsidR="007549A4" w:rsidRPr="007549A4">
        <w:t xml:space="preserve"> </w:t>
      </w:r>
      <w:r w:rsidR="007549A4" w:rsidRPr="007549A4">
        <w:rPr>
          <w:sz w:val="24"/>
          <w:szCs w:val="24"/>
          <w:lang w:val="ro-RO"/>
        </w:rPr>
        <w:t>The regional GVA in industry will increase by 4.3% while in construction the increase will be 7.4% as an annual average.</w:t>
      </w:r>
      <w:r w:rsidR="007549A4" w:rsidRPr="007549A4">
        <w:t xml:space="preserve"> </w:t>
      </w:r>
      <w:r w:rsidR="007549A4" w:rsidRPr="007549A4">
        <w:rPr>
          <w:sz w:val="24"/>
          <w:szCs w:val="24"/>
          <w:lang w:val="ro-RO"/>
        </w:rPr>
        <w:t>With an average annual GVA dynamic of 3.8%, the services sector will have a more moderate contribution to economic growth, while for the agricultural sector the dynamics of 2.8% is around the national average (2.7%).</w:t>
      </w:r>
    </w:p>
    <w:p w:rsidR="00DC5808" w:rsidRPr="003126E1" w:rsidRDefault="00DC5808" w:rsidP="00C34249">
      <w:pPr>
        <w:jc w:val="both"/>
        <w:rPr>
          <w:sz w:val="24"/>
          <w:szCs w:val="24"/>
          <w:lang w:val="ro-RO"/>
        </w:rPr>
      </w:pPr>
      <w:r w:rsidRPr="008C51B6">
        <w:rPr>
          <w:rStyle w:val="Strong"/>
          <w:bCs w:val="0"/>
          <w:sz w:val="24"/>
          <w:szCs w:val="24"/>
          <w:lang w:val="ro-RO"/>
        </w:rPr>
        <w:t xml:space="preserve">Gorj </w:t>
      </w:r>
      <w:r w:rsidR="006824BC">
        <w:rPr>
          <w:rStyle w:val="Strong"/>
          <w:b w:val="0"/>
          <w:bCs w:val="0"/>
          <w:sz w:val="24"/>
          <w:szCs w:val="24"/>
          <w:lang w:val="ro-RO"/>
        </w:rPr>
        <w:t>County</w:t>
      </w:r>
      <w:r w:rsidRPr="00DC5808">
        <w:rPr>
          <w:rStyle w:val="Strong"/>
          <w:b w:val="0"/>
          <w:bCs w:val="0"/>
          <w:sz w:val="24"/>
          <w:szCs w:val="24"/>
          <w:lang w:val="ro-RO"/>
        </w:rPr>
        <w:t xml:space="preserve"> (once among the top counties in the region), with a GDP growth of 3.8% at the beginning of the forecast period and 3.3% at the end of it, is going through a transition period.</w:t>
      </w:r>
      <w:r w:rsidR="00A13E7D" w:rsidRPr="00A13E7D">
        <w:t xml:space="preserve"> </w:t>
      </w:r>
      <w:r w:rsidR="00A13E7D" w:rsidRPr="00A13E7D">
        <w:rPr>
          <w:rStyle w:val="Strong"/>
          <w:b w:val="0"/>
          <w:bCs w:val="0"/>
          <w:sz w:val="24"/>
          <w:szCs w:val="24"/>
          <w:lang w:val="ro-RO"/>
        </w:rPr>
        <w:t>The restructuring of the energy sector will continue, adapting to the transition to green energy, so that the implementation of photovoltaic projects and the development of electricity generation units based on natural gas will begin.</w:t>
      </w:r>
    </w:p>
    <w:p w:rsidR="00184136" w:rsidRPr="003126E1" w:rsidRDefault="00184136" w:rsidP="00C34249">
      <w:pPr>
        <w:jc w:val="both"/>
        <w:rPr>
          <w:rStyle w:val="Strong"/>
          <w:b w:val="0"/>
          <w:bCs w:val="0"/>
          <w:sz w:val="24"/>
          <w:szCs w:val="24"/>
          <w:lang w:val="ro-RO"/>
        </w:rPr>
      </w:pPr>
      <w:r w:rsidRPr="006C22D6">
        <w:rPr>
          <w:rStyle w:val="Strong"/>
          <w:bCs w:val="0"/>
          <w:sz w:val="24"/>
          <w:szCs w:val="24"/>
          <w:lang w:val="ro-RO"/>
        </w:rPr>
        <w:t>Mehedinți</w:t>
      </w:r>
      <w:r w:rsidRPr="00184136">
        <w:rPr>
          <w:rStyle w:val="Strong"/>
          <w:b w:val="0"/>
          <w:bCs w:val="0"/>
          <w:sz w:val="24"/>
          <w:szCs w:val="24"/>
          <w:lang w:val="ro-RO"/>
        </w:rPr>
        <w:t xml:space="preserve"> </w:t>
      </w:r>
      <w:r w:rsidR="006824BC">
        <w:rPr>
          <w:rStyle w:val="Strong"/>
          <w:b w:val="0"/>
          <w:bCs w:val="0"/>
          <w:sz w:val="24"/>
          <w:szCs w:val="24"/>
          <w:lang w:val="ro-RO"/>
        </w:rPr>
        <w:t>County</w:t>
      </w:r>
      <w:r w:rsidRPr="00184136">
        <w:rPr>
          <w:rStyle w:val="Strong"/>
          <w:b w:val="0"/>
          <w:bCs w:val="0"/>
          <w:sz w:val="24"/>
          <w:szCs w:val="24"/>
          <w:lang w:val="ro-RO"/>
        </w:rPr>
        <w:t xml:space="preserve">, with a GDP growth of 3.9% anticipated for 2022, will register modest results in the </w:t>
      </w:r>
      <w:r>
        <w:rPr>
          <w:rStyle w:val="Strong"/>
          <w:b w:val="0"/>
          <w:bCs w:val="0"/>
          <w:sz w:val="24"/>
          <w:szCs w:val="24"/>
          <w:lang w:val="ro-RO"/>
        </w:rPr>
        <w:t>interval</w:t>
      </w:r>
      <w:r w:rsidRPr="00184136">
        <w:rPr>
          <w:rStyle w:val="Strong"/>
          <w:b w:val="0"/>
          <w:bCs w:val="0"/>
          <w:sz w:val="24"/>
          <w:szCs w:val="24"/>
          <w:lang w:val="ro-RO"/>
        </w:rPr>
        <w:t xml:space="preserve"> of the forecast</w:t>
      </w:r>
      <w:r w:rsidR="006C22D6">
        <w:rPr>
          <w:rStyle w:val="Strong"/>
          <w:b w:val="0"/>
          <w:bCs w:val="0"/>
          <w:sz w:val="24"/>
          <w:szCs w:val="24"/>
          <w:lang w:val="ro-RO"/>
        </w:rPr>
        <w:t>ed</w:t>
      </w:r>
      <w:r w:rsidRPr="00184136">
        <w:rPr>
          <w:rStyle w:val="Strong"/>
          <w:b w:val="0"/>
          <w:bCs w:val="0"/>
          <w:sz w:val="24"/>
          <w:szCs w:val="24"/>
          <w:lang w:val="ro-RO"/>
        </w:rPr>
        <w:t xml:space="preserve"> period</w:t>
      </w:r>
      <w:r>
        <w:rPr>
          <w:rStyle w:val="Strong"/>
          <w:b w:val="0"/>
          <w:bCs w:val="0"/>
          <w:sz w:val="24"/>
          <w:szCs w:val="24"/>
          <w:lang w:val="ro-RO"/>
        </w:rPr>
        <w:t>.</w:t>
      </w:r>
      <w:r w:rsidR="00E1361C" w:rsidRPr="00E1361C">
        <w:t xml:space="preserve"> </w:t>
      </w:r>
      <w:r w:rsidR="00E1361C" w:rsidRPr="00E1361C">
        <w:rPr>
          <w:rStyle w:val="Strong"/>
          <w:b w:val="0"/>
          <w:bCs w:val="0"/>
          <w:sz w:val="24"/>
          <w:szCs w:val="24"/>
          <w:lang w:val="ro-RO"/>
        </w:rPr>
        <w:t>Despite the potential that still exists, at the end of the forecast horizon, the evolution of GDP will be only 3.4%.</w:t>
      </w:r>
    </w:p>
    <w:p w:rsidR="00E03082" w:rsidRDefault="00E03082" w:rsidP="00C34249">
      <w:pPr>
        <w:tabs>
          <w:tab w:val="left" w:pos="0"/>
        </w:tabs>
        <w:spacing w:after="120"/>
        <w:jc w:val="both"/>
        <w:rPr>
          <w:rFonts w:eastAsia="MS Mincho"/>
          <w:sz w:val="24"/>
          <w:szCs w:val="24"/>
          <w:lang w:val="ro-RO" w:eastAsia="ja-JP"/>
        </w:rPr>
      </w:pPr>
      <w:r w:rsidRPr="00E03082">
        <w:rPr>
          <w:rFonts w:eastAsia="MS Mincho"/>
          <w:sz w:val="24"/>
          <w:szCs w:val="24"/>
          <w:lang w:val="ro-RO" w:eastAsia="ja-JP"/>
        </w:rPr>
        <w:t xml:space="preserve">In </w:t>
      </w:r>
      <w:r w:rsidRPr="00846C68">
        <w:rPr>
          <w:rFonts w:eastAsia="MS Mincho"/>
          <w:b/>
          <w:sz w:val="24"/>
          <w:szCs w:val="24"/>
          <w:lang w:val="ro-RO" w:eastAsia="ja-JP"/>
        </w:rPr>
        <w:t xml:space="preserve">Dolj </w:t>
      </w:r>
      <w:r w:rsidR="006824BC">
        <w:rPr>
          <w:rFonts w:eastAsia="MS Mincho"/>
          <w:sz w:val="24"/>
          <w:szCs w:val="24"/>
          <w:lang w:val="ro-RO" w:eastAsia="ja-JP"/>
        </w:rPr>
        <w:t>County</w:t>
      </w:r>
      <w:r w:rsidRPr="00E03082">
        <w:rPr>
          <w:rFonts w:eastAsia="MS Mincho"/>
          <w:sz w:val="24"/>
          <w:szCs w:val="24"/>
          <w:lang w:val="ro-RO" w:eastAsia="ja-JP"/>
        </w:rPr>
        <w:t xml:space="preserve">, </w:t>
      </w:r>
      <w:r>
        <w:rPr>
          <w:rFonts w:eastAsia="MS Mincho"/>
          <w:sz w:val="24"/>
          <w:szCs w:val="24"/>
          <w:lang w:val="ro-RO" w:eastAsia="ja-JP"/>
        </w:rPr>
        <w:t xml:space="preserve">the </w:t>
      </w:r>
      <w:r w:rsidRPr="00E03082">
        <w:rPr>
          <w:rFonts w:eastAsia="MS Mincho"/>
          <w:sz w:val="24"/>
          <w:szCs w:val="24"/>
          <w:lang w:val="ro-RO" w:eastAsia="ja-JP"/>
        </w:rPr>
        <w:t>GDP growth is 4.2% for 2022 and 4.5% for the end of the estimated period</w:t>
      </w:r>
      <w:r>
        <w:rPr>
          <w:rFonts w:eastAsia="MS Mincho"/>
          <w:sz w:val="24"/>
          <w:szCs w:val="24"/>
          <w:lang w:val="ro-RO" w:eastAsia="ja-JP"/>
        </w:rPr>
        <w:t>.</w:t>
      </w:r>
      <w:r w:rsidR="005A0526" w:rsidRPr="005A0526">
        <w:t xml:space="preserve"> </w:t>
      </w:r>
      <w:r w:rsidR="005A0526" w:rsidRPr="005A0526">
        <w:rPr>
          <w:rFonts w:eastAsia="MS Mincho"/>
          <w:sz w:val="24"/>
          <w:szCs w:val="24"/>
          <w:lang w:val="ro-RO" w:eastAsia="ja-JP"/>
        </w:rPr>
        <w:t>In the industrial sector, an important role will be played by the car manufacturing industry, by attracting new suppliers on the local market, in addition to the existing ones, for a future commercial car with conventional engine that will be produced starting with 2023,</w:t>
      </w:r>
      <w:r w:rsidR="008D33D5">
        <w:rPr>
          <w:rFonts w:eastAsia="MS Mincho"/>
          <w:sz w:val="24"/>
          <w:szCs w:val="24"/>
          <w:lang w:val="ro-RO" w:eastAsia="ja-JP"/>
        </w:rPr>
        <w:t xml:space="preserve"> and</w:t>
      </w:r>
      <w:r w:rsidR="005A0526" w:rsidRPr="005A0526">
        <w:rPr>
          <w:rFonts w:eastAsia="MS Mincho"/>
          <w:sz w:val="24"/>
          <w:szCs w:val="24"/>
          <w:lang w:val="ro-RO" w:eastAsia="ja-JP"/>
        </w:rPr>
        <w:t xml:space="preserve"> </w:t>
      </w:r>
      <w:r w:rsidR="008D33D5" w:rsidRPr="005A0526">
        <w:rPr>
          <w:rFonts w:eastAsia="MS Mincho"/>
          <w:sz w:val="24"/>
          <w:szCs w:val="24"/>
          <w:lang w:val="ro-RO" w:eastAsia="ja-JP"/>
        </w:rPr>
        <w:t>with an electric motor</w:t>
      </w:r>
      <w:r w:rsidR="008D33D5">
        <w:rPr>
          <w:rFonts w:eastAsia="MS Mincho"/>
          <w:sz w:val="24"/>
          <w:szCs w:val="24"/>
          <w:lang w:val="ro-RO" w:eastAsia="ja-JP"/>
        </w:rPr>
        <w:t xml:space="preserve"> after 2024.</w:t>
      </w:r>
      <w:r w:rsidR="00297994" w:rsidRPr="00297994">
        <w:t xml:space="preserve"> </w:t>
      </w:r>
      <w:r w:rsidR="00297994" w:rsidRPr="00297994">
        <w:rPr>
          <w:rFonts w:eastAsia="MS Mincho"/>
          <w:sz w:val="24"/>
          <w:szCs w:val="24"/>
          <w:lang w:val="ro-RO" w:eastAsia="ja-JP"/>
        </w:rPr>
        <w:t xml:space="preserve">Also worth mentioning is the area </w:t>
      </w:r>
      <w:r w:rsidR="00D90A47">
        <w:rPr>
          <w:rFonts w:eastAsia="MS Mincho"/>
          <w:sz w:val="24"/>
          <w:szCs w:val="24"/>
          <w:lang w:val="ro-RO" w:eastAsia="ja-JP"/>
        </w:rPr>
        <w:t xml:space="preserve">of the </w:t>
      </w:r>
      <w:r w:rsidR="006143E0" w:rsidRPr="006143E0">
        <w:rPr>
          <w:rFonts w:eastAsia="MS Mincho"/>
          <w:sz w:val="24"/>
          <w:szCs w:val="24"/>
          <w:lang w:val="ro-RO" w:eastAsia="ja-JP"/>
        </w:rPr>
        <w:t>electric locomotive manufacturing industry</w:t>
      </w:r>
      <w:r w:rsidR="00297994" w:rsidRPr="00297994">
        <w:rPr>
          <w:rFonts w:eastAsia="MS Mincho"/>
          <w:sz w:val="24"/>
          <w:szCs w:val="24"/>
          <w:lang w:val="ro-RO" w:eastAsia="ja-JP"/>
        </w:rPr>
        <w:t xml:space="preserve">, </w:t>
      </w:r>
      <w:r w:rsidR="006143E0" w:rsidRPr="00E03082">
        <w:rPr>
          <w:rFonts w:eastAsia="MS Mincho"/>
          <w:sz w:val="24"/>
          <w:szCs w:val="24"/>
          <w:lang w:val="ro-RO" w:eastAsia="ja-JP"/>
        </w:rPr>
        <w:t xml:space="preserve">Dolj </w:t>
      </w:r>
      <w:r w:rsidR="006824BC">
        <w:rPr>
          <w:rFonts w:eastAsia="MS Mincho"/>
          <w:sz w:val="24"/>
          <w:szCs w:val="24"/>
          <w:lang w:val="ro-RO" w:eastAsia="ja-JP"/>
        </w:rPr>
        <w:t>County</w:t>
      </w:r>
      <w:r w:rsidR="006143E0" w:rsidRPr="00297994">
        <w:rPr>
          <w:rFonts w:eastAsia="MS Mincho"/>
          <w:sz w:val="24"/>
          <w:szCs w:val="24"/>
          <w:lang w:val="ro-RO" w:eastAsia="ja-JP"/>
        </w:rPr>
        <w:t xml:space="preserve"> </w:t>
      </w:r>
      <w:r w:rsidR="00D90A47">
        <w:rPr>
          <w:rFonts w:eastAsia="MS Mincho"/>
          <w:sz w:val="24"/>
          <w:szCs w:val="24"/>
          <w:lang w:val="ro-RO" w:eastAsia="ja-JP"/>
        </w:rPr>
        <w:t xml:space="preserve">being </w:t>
      </w:r>
      <w:r w:rsidR="00297994" w:rsidRPr="00297994">
        <w:rPr>
          <w:rFonts w:eastAsia="MS Mincho"/>
          <w:sz w:val="24"/>
          <w:szCs w:val="24"/>
          <w:lang w:val="ro-RO" w:eastAsia="ja-JP"/>
        </w:rPr>
        <w:t>the only manufacturer of new locomotives in Eastern Europe, the year 2022 bringing the continuation of deliveries to operators in Romania, but also deliveries on the foreign market.</w:t>
      </w:r>
    </w:p>
    <w:p w:rsidR="00B25449" w:rsidRPr="003126E1" w:rsidRDefault="00B25449" w:rsidP="00C34249">
      <w:pPr>
        <w:tabs>
          <w:tab w:val="left" w:pos="0"/>
        </w:tabs>
        <w:spacing w:after="120"/>
        <w:jc w:val="both"/>
        <w:rPr>
          <w:rFonts w:eastAsia="MS Mincho"/>
          <w:sz w:val="24"/>
          <w:szCs w:val="24"/>
          <w:lang w:val="ro-RO" w:eastAsia="ja-JP"/>
        </w:rPr>
      </w:pPr>
      <w:r w:rsidRPr="00846C68">
        <w:rPr>
          <w:rFonts w:eastAsia="MS Mincho"/>
          <w:b/>
          <w:sz w:val="24"/>
          <w:szCs w:val="24"/>
          <w:lang w:val="ro-RO" w:eastAsia="ja-JP"/>
        </w:rPr>
        <w:t>Olt</w:t>
      </w:r>
      <w:r w:rsidRPr="00B25449">
        <w:rPr>
          <w:rFonts w:eastAsia="MS Mincho"/>
          <w:sz w:val="24"/>
          <w:szCs w:val="24"/>
          <w:lang w:val="ro-RO" w:eastAsia="ja-JP"/>
        </w:rPr>
        <w:t xml:space="preserve"> </w:t>
      </w:r>
      <w:r w:rsidR="006824BC">
        <w:rPr>
          <w:rFonts w:eastAsia="MS Mincho"/>
          <w:sz w:val="24"/>
          <w:szCs w:val="24"/>
          <w:lang w:val="ro-RO" w:eastAsia="ja-JP"/>
        </w:rPr>
        <w:t>County</w:t>
      </w:r>
      <w:r w:rsidRPr="00B25449">
        <w:rPr>
          <w:rFonts w:eastAsia="MS Mincho"/>
          <w:sz w:val="24"/>
          <w:szCs w:val="24"/>
          <w:lang w:val="ro-RO" w:eastAsia="ja-JP"/>
        </w:rPr>
        <w:t xml:space="preserve">, with a GDP growth of 4.5% in 2022, but </w:t>
      </w:r>
      <w:r w:rsidR="008C45F1" w:rsidRPr="008C45F1">
        <w:rPr>
          <w:rFonts w:eastAsia="MS Mincho"/>
          <w:sz w:val="24"/>
          <w:szCs w:val="24"/>
          <w:lang w:val="ro-RO" w:eastAsia="ja-JP"/>
        </w:rPr>
        <w:t>decreasing</w:t>
      </w:r>
      <w:r w:rsidRPr="00B25449">
        <w:rPr>
          <w:rFonts w:eastAsia="MS Mincho"/>
          <w:sz w:val="24"/>
          <w:szCs w:val="24"/>
          <w:lang w:val="ro-RO" w:eastAsia="ja-JP"/>
        </w:rPr>
        <w:t xml:space="preserve"> towards the end of the forecast</w:t>
      </w:r>
      <w:r w:rsidR="00846C68">
        <w:rPr>
          <w:rFonts w:eastAsia="MS Mincho"/>
          <w:sz w:val="24"/>
          <w:szCs w:val="24"/>
          <w:lang w:val="ro-RO" w:eastAsia="ja-JP"/>
        </w:rPr>
        <w:t>ed</w:t>
      </w:r>
      <w:r w:rsidRPr="00B25449">
        <w:rPr>
          <w:rFonts w:eastAsia="MS Mincho"/>
          <w:sz w:val="24"/>
          <w:szCs w:val="24"/>
          <w:lang w:val="ro-RO" w:eastAsia="ja-JP"/>
        </w:rPr>
        <w:t xml:space="preserve"> period (3.3% in 2025), is one of the strongest counties in the region, with an economy based largely on</w:t>
      </w:r>
      <w:r w:rsidR="00FC2636">
        <w:rPr>
          <w:rFonts w:eastAsia="MS Mincho"/>
          <w:sz w:val="24"/>
          <w:szCs w:val="24"/>
          <w:lang w:val="ro-RO" w:eastAsia="ja-JP"/>
        </w:rPr>
        <w:t xml:space="preserve"> the</w:t>
      </w:r>
      <w:r w:rsidRPr="00B25449">
        <w:rPr>
          <w:rFonts w:eastAsia="MS Mincho"/>
          <w:sz w:val="24"/>
          <w:szCs w:val="24"/>
          <w:lang w:val="ro-RO" w:eastAsia="ja-JP"/>
        </w:rPr>
        <w:t xml:space="preserve"> metallurgical industry, being one of the largest manufacturers of </w:t>
      </w:r>
      <w:r w:rsidRPr="00B25449">
        <w:rPr>
          <w:rFonts w:eastAsia="MS Mincho"/>
          <w:sz w:val="24"/>
          <w:szCs w:val="24"/>
          <w:lang w:val="ro-RO" w:eastAsia="ja-JP"/>
        </w:rPr>
        <w:lastRenderedPageBreak/>
        <w:t>automotive components.</w:t>
      </w:r>
      <w:r w:rsidR="00FC2636" w:rsidRPr="00FC2636">
        <w:t xml:space="preserve"> </w:t>
      </w:r>
      <w:r w:rsidR="00FC2636">
        <w:rPr>
          <w:rFonts w:eastAsia="MS Mincho"/>
          <w:sz w:val="24"/>
          <w:szCs w:val="24"/>
          <w:lang w:val="ro-RO" w:eastAsia="ja-JP"/>
        </w:rPr>
        <w:t>N</w:t>
      </w:r>
      <w:r w:rsidR="00FC2636" w:rsidRPr="00FC2636">
        <w:rPr>
          <w:rFonts w:eastAsia="MS Mincho"/>
          <w:sz w:val="24"/>
          <w:szCs w:val="24"/>
          <w:lang w:val="ro-RO" w:eastAsia="ja-JP"/>
        </w:rPr>
        <w:t xml:space="preserve">ot least, it is worth mentioning that Olt </w:t>
      </w:r>
      <w:r w:rsidR="006824BC">
        <w:rPr>
          <w:rFonts w:eastAsia="MS Mincho"/>
          <w:sz w:val="24"/>
          <w:szCs w:val="24"/>
          <w:lang w:val="ro-RO" w:eastAsia="ja-JP"/>
        </w:rPr>
        <w:t>County</w:t>
      </w:r>
      <w:r w:rsidR="00FC2636" w:rsidRPr="00FC2636">
        <w:rPr>
          <w:rFonts w:eastAsia="MS Mincho"/>
          <w:sz w:val="24"/>
          <w:szCs w:val="24"/>
          <w:lang w:val="ro-RO" w:eastAsia="ja-JP"/>
        </w:rPr>
        <w:t xml:space="preserve"> also has a remarkable tradition in the agricultural sector.</w:t>
      </w:r>
    </w:p>
    <w:p w:rsidR="00264D25" w:rsidRPr="003126E1" w:rsidRDefault="00940EDC" w:rsidP="00C34249">
      <w:pPr>
        <w:tabs>
          <w:tab w:val="left" w:pos="0"/>
        </w:tabs>
        <w:spacing w:after="120"/>
        <w:jc w:val="both"/>
        <w:rPr>
          <w:rFonts w:eastAsia="MS Mincho"/>
          <w:sz w:val="24"/>
          <w:szCs w:val="24"/>
          <w:lang w:val="ro-RO" w:eastAsia="ja-JP"/>
        </w:rPr>
      </w:pPr>
      <w:r w:rsidRPr="00940EDC">
        <w:rPr>
          <w:rFonts w:eastAsia="MS Mincho"/>
          <w:sz w:val="24"/>
          <w:szCs w:val="24"/>
          <w:lang w:val="ro-RO" w:eastAsia="ja-JP"/>
        </w:rPr>
        <w:t xml:space="preserve">In </w:t>
      </w:r>
      <w:r w:rsidRPr="00846C68">
        <w:rPr>
          <w:rFonts w:eastAsia="MS Mincho"/>
          <w:b/>
          <w:sz w:val="24"/>
          <w:szCs w:val="24"/>
          <w:lang w:val="ro-RO" w:eastAsia="ja-JP"/>
        </w:rPr>
        <w:t>Vâlcea</w:t>
      </w:r>
      <w:r w:rsidRPr="00940EDC">
        <w:rPr>
          <w:rFonts w:eastAsia="MS Mincho"/>
          <w:sz w:val="24"/>
          <w:szCs w:val="24"/>
          <w:lang w:val="ro-RO" w:eastAsia="ja-JP"/>
        </w:rPr>
        <w:t xml:space="preserve"> </w:t>
      </w:r>
      <w:r w:rsidR="006824BC">
        <w:rPr>
          <w:rFonts w:eastAsia="MS Mincho"/>
          <w:sz w:val="24"/>
          <w:szCs w:val="24"/>
          <w:lang w:val="ro-RO" w:eastAsia="ja-JP"/>
        </w:rPr>
        <w:t>County</w:t>
      </w:r>
      <w:r w:rsidRPr="00940EDC">
        <w:rPr>
          <w:rFonts w:eastAsia="MS Mincho"/>
          <w:sz w:val="24"/>
          <w:szCs w:val="24"/>
          <w:lang w:val="ro-RO" w:eastAsia="ja-JP"/>
        </w:rPr>
        <w:t xml:space="preserve">, in </w:t>
      </w:r>
      <w:r w:rsidR="006824BC">
        <w:rPr>
          <w:rFonts w:eastAsia="MS Mincho"/>
          <w:sz w:val="24"/>
          <w:szCs w:val="24"/>
          <w:lang w:val="ro-RO" w:eastAsia="ja-JP"/>
        </w:rPr>
        <w:t>line with the national forecast</w:t>
      </w:r>
      <w:r>
        <w:rPr>
          <w:rFonts w:eastAsia="MS Mincho"/>
          <w:sz w:val="24"/>
          <w:szCs w:val="24"/>
          <w:lang w:val="ro-RO" w:eastAsia="ja-JP"/>
        </w:rPr>
        <w:t>,</w:t>
      </w:r>
      <w:r w:rsidR="006824BC">
        <w:rPr>
          <w:rFonts w:eastAsia="MS Mincho"/>
          <w:sz w:val="24"/>
          <w:szCs w:val="24"/>
          <w:lang w:val="ro-RO" w:eastAsia="ja-JP"/>
        </w:rPr>
        <w:t xml:space="preserve"> </w:t>
      </w:r>
      <w:r w:rsidR="001D5767">
        <w:rPr>
          <w:rFonts w:eastAsia="MS Mincho"/>
          <w:sz w:val="24"/>
          <w:szCs w:val="24"/>
          <w:lang w:val="ro-RO" w:eastAsia="ja-JP"/>
        </w:rPr>
        <w:t>the GDP is estimat</w:t>
      </w:r>
      <w:r w:rsidR="00650733">
        <w:rPr>
          <w:rFonts w:eastAsia="MS Mincho"/>
          <w:sz w:val="24"/>
          <w:szCs w:val="24"/>
          <w:lang w:val="ro-RO" w:eastAsia="ja-JP"/>
        </w:rPr>
        <w:t>ed</w:t>
      </w:r>
      <w:r w:rsidRPr="00940EDC">
        <w:rPr>
          <w:rFonts w:eastAsia="MS Mincho"/>
          <w:sz w:val="24"/>
          <w:szCs w:val="24"/>
          <w:lang w:val="ro-RO" w:eastAsia="ja-JP"/>
        </w:rPr>
        <w:t xml:space="preserve"> to increase by 4.3% for the beginning of the period and to slow down to 3.8% by</w:t>
      </w:r>
      <w:r w:rsidR="00715C86">
        <w:rPr>
          <w:rFonts w:eastAsia="MS Mincho"/>
          <w:sz w:val="24"/>
          <w:szCs w:val="24"/>
          <w:lang w:val="ro-RO" w:eastAsia="ja-JP"/>
        </w:rPr>
        <w:t xml:space="preserve"> the end of the forecast</w:t>
      </w:r>
      <w:r w:rsidR="00846C68">
        <w:rPr>
          <w:rFonts w:eastAsia="MS Mincho"/>
          <w:sz w:val="24"/>
          <w:szCs w:val="24"/>
          <w:lang w:val="ro-RO" w:eastAsia="ja-JP"/>
        </w:rPr>
        <w:t>ed</w:t>
      </w:r>
      <w:r w:rsidR="00715C86">
        <w:rPr>
          <w:rFonts w:eastAsia="MS Mincho"/>
          <w:sz w:val="24"/>
          <w:szCs w:val="24"/>
          <w:lang w:val="ro-RO" w:eastAsia="ja-JP"/>
        </w:rPr>
        <w:t xml:space="preserve"> period.</w:t>
      </w:r>
      <w:r w:rsidR="00715C86" w:rsidRPr="00715C86">
        <w:t xml:space="preserve"> </w:t>
      </w:r>
      <w:r w:rsidR="00715C86" w:rsidRPr="00715C86">
        <w:rPr>
          <w:rFonts w:eastAsia="MS Mincho"/>
          <w:sz w:val="24"/>
          <w:szCs w:val="24"/>
          <w:lang w:val="ro-RO" w:eastAsia="ja-JP"/>
        </w:rPr>
        <w:t xml:space="preserve">The chemical industry is the main economic </w:t>
      </w:r>
      <w:r w:rsidR="00715C86">
        <w:rPr>
          <w:rFonts w:eastAsia="MS Mincho"/>
          <w:sz w:val="24"/>
          <w:szCs w:val="24"/>
          <w:lang w:val="ro-RO" w:eastAsia="ja-JP"/>
        </w:rPr>
        <w:t>sustainer</w:t>
      </w:r>
      <w:r w:rsidR="00715C86" w:rsidRPr="00715C86">
        <w:rPr>
          <w:rFonts w:eastAsia="MS Mincho"/>
          <w:sz w:val="24"/>
          <w:szCs w:val="24"/>
          <w:lang w:val="ro-RO" w:eastAsia="ja-JP"/>
        </w:rPr>
        <w:t xml:space="preserve"> of the </w:t>
      </w:r>
      <w:r w:rsidR="006824BC">
        <w:rPr>
          <w:rFonts w:eastAsia="MS Mincho"/>
          <w:sz w:val="24"/>
          <w:szCs w:val="24"/>
          <w:lang w:val="ro-RO" w:eastAsia="ja-JP"/>
        </w:rPr>
        <w:t>County</w:t>
      </w:r>
      <w:r w:rsidR="00715C86">
        <w:rPr>
          <w:rFonts w:eastAsia="MS Mincho"/>
          <w:sz w:val="24"/>
          <w:szCs w:val="24"/>
          <w:lang w:val="ro-RO" w:eastAsia="ja-JP"/>
        </w:rPr>
        <w:t>.</w:t>
      </w:r>
      <w:r w:rsidR="00BF1B0B" w:rsidRPr="00BF1B0B">
        <w:t xml:space="preserve"> </w:t>
      </w:r>
      <w:r w:rsidR="00BF1B0B" w:rsidRPr="00BF1B0B">
        <w:rPr>
          <w:rFonts w:eastAsia="MS Mincho"/>
          <w:sz w:val="24"/>
          <w:szCs w:val="24"/>
          <w:lang w:val="ro-RO" w:eastAsia="ja-JP"/>
        </w:rPr>
        <w:t xml:space="preserve">The chemical industry sector of Vâlcea </w:t>
      </w:r>
      <w:r w:rsidR="006824BC">
        <w:rPr>
          <w:rFonts w:eastAsia="MS Mincho"/>
          <w:sz w:val="24"/>
          <w:szCs w:val="24"/>
          <w:lang w:val="ro-RO" w:eastAsia="ja-JP"/>
        </w:rPr>
        <w:t>County</w:t>
      </w:r>
      <w:r w:rsidR="0068025E">
        <w:rPr>
          <w:rFonts w:eastAsia="MS Mincho"/>
          <w:sz w:val="24"/>
          <w:szCs w:val="24"/>
          <w:lang w:val="ro-RO" w:eastAsia="ja-JP"/>
        </w:rPr>
        <w:t xml:space="preserve"> plays</w:t>
      </w:r>
      <w:r w:rsidR="00BF1B0B" w:rsidRPr="00BF1B0B">
        <w:rPr>
          <w:rFonts w:eastAsia="MS Mincho"/>
          <w:sz w:val="24"/>
          <w:szCs w:val="24"/>
          <w:lang w:val="ro-RO" w:eastAsia="ja-JP"/>
        </w:rPr>
        <w:t xml:space="preserve"> </w:t>
      </w:r>
      <w:r w:rsidR="0068025E">
        <w:rPr>
          <w:rFonts w:eastAsia="MS Mincho"/>
          <w:sz w:val="24"/>
          <w:szCs w:val="24"/>
          <w:lang w:val="ro-RO" w:eastAsia="ja-JP"/>
        </w:rPr>
        <w:t xml:space="preserve">a </w:t>
      </w:r>
      <w:r w:rsidR="00BF1B0B" w:rsidRPr="00BF1B0B">
        <w:rPr>
          <w:rFonts w:eastAsia="MS Mincho"/>
          <w:sz w:val="24"/>
          <w:szCs w:val="24"/>
          <w:lang w:val="ro-RO" w:eastAsia="ja-JP"/>
        </w:rPr>
        <w:t xml:space="preserve">strategic </w:t>
      </w:r>
      <w:r w:rsidR="0068025E">
        <w:rPr>
          <w:rFonts w:eastAsia="MS Mincho"/>
          <w:sz w:val="24"/>
          <w:szCs w:val="24"/>
          <w:lang w:val="ro-RO" w:eastAsia="ja-JP"/>
        </w:rPr>
        <w:t>role</w:t>
      </w:r>
      <w:r w:rsidR="00BF1B0B" w:rsidRPr="00BF1B0B">
        <w:rPr>
          <w:rFonts w:eastAsia="MS Mincho"/>
          <w:sz w:val="24"/>
          <w:szCs w:val="24"/>
          <w:lang w:val="ro-RO" w:eastAsia="ja-JP"/>
        </w:rPr>
        <w:t xml:space="preserve"> for Romania,</w:t>
      </w:r>
      <w:r w:rsidR="00BF1B0B">
        <w:rPr>
          <w:rFonts w:eastAsia="MS Mincho"/>
          <w:sz w:val="24"/>
          <w:szCs w:val="24"/>
          <w:lang w:val="ro-RO" w:eastAsia="ja-JP"/>
        </w:rPr>
        <w:t xml:space="preserve"> </w:t>
      </w:r>
      <w:r w:rsidR="00D83954">
        <w:rPr>
          <w:rFonts w:eastAsia="MS Mincho"/>
          <w:sz w:val="24"/>
          <w:szCs w:val="24"/>
          <w:lang w:val="ro-RO" w:eastAsia="ja-JP"/>
        </w:rPr>
        <w:t>having</w:t>
      </w:r>
      <w:r w:rsidR="00BF1B0B" w:rsidRPr="00BF1B0B">
        <w:rPr>
          <w:rFonts w:eastAsia="MS Mincho"/>
          <w:sz w:val="24"/>
          <w:szCs w:val="24"/>
          <w:lang w:val="ro-RO" w:eastAsia="ja-JP"/>
        </w:rPr>
        <w:t xml:space="preserve"> the largest che</w:t>
      </w:r>
      <w:r w:rsidR="00BF1B0B">
        <w:rPr>
          <w:rFonts w:eastAsia="MS Mincho"/>
          <w:sz w:val="24"/>
          <w:szCs w:val="24"/>
          <w:lang w:val="ro-RO" w:eastAsia="ja-JP"/>
        </w:rPr>
        <w:t>mical plant with two platforms</w:t>
      </w:r>
      <w:r w:rsidR="00D83954">
        <w:rPr>
          <w:rFonts w:eastAsia="MS Mincho"/>
          <w:sz w:val="24"/>
          <w:szCs w:val="24"/>
          <w:lang w:val="ro-RO" w:eastAsia="ja-JP"/>
        </w:rPr>
        <w:t xml:space="preserve">, </w:t>
      </w:r>
      <w:r w:rsidR="00BF1B0B" w:rsidRPr="00BF1B0B">
        <w:rPr>
          <w:rFonts w:eastAsia="MS Mincho"/>
          <w:sz w:val="24"/>
          <w:szCs w:val="24"/>
          <w:lang w:val="ro-RO" w:eastAsia="ja-JP"/>
        </w:rPr>
        <w:t>developing quality products for a better life and a sustainable future.</w:t>
      </w:r>
      <w:r w:rsidR="00441AA0" w:rsidRPr="00441AA0">
        <w:t xml:space="preserve"> </w:t>
      </w:r>
      <w:r w:rsidR="00441AA0" w:rsidRPr="00441AA0">
        <w:rPr>
          <w:rFonts w:eastAsia="MS Mincho"/>
          <w:sz w:val="24"/>
          <w:szCs w:val="24"/>
          <w:lang w:val="ro-RO" w:eastAsia="ja-JP"/>
        </w:rPr>
        <w:t>At the same time, is being considered the construction of a district heating plant in Râmnicu Vâlcea.</w:t>
      </w:r>
    </w:p>
    <w:p w:rsidR="005D30A0" w:rsidRPr="003126E1" w:rsidRDefault="00334217" w:rsidP="00E8432C">
      <w:pPr>
        <w:spacing w:after="120"/>
        <w:jc w:val="both"/>
        <w:rPr>
          <w:sz w:val="24"/>
          <w:szCs w:val="24"/>
          <w:lang w:val="ro-RO"/>
        </w:rPr>
      </w:pPr>
      <w:r w:rsidRPr="00334217">
        <w:rPr>
          <w:sz w:val="24"/>
          <w:szCs w:val="24"/>
          <w:lang w:val="ro-RO"/>
        </w:rPr>
        <w:t>The employed civilian population</w:t>
      </w:r>
      <w:r w:rsidR="009533E2">
        <w:rPr>
          <w:sz w:val="24"/>
          <w:szCs w:val="24"/>
          <w:lang w:val="ro-RO"/>
        </w:rPr>
        <w:t xml:space="preserve"> in South-West region</w:t>
      </w:r>
      <w:r w:rsidRPr="00334217">
        <w:rPr>
          <w:sz w:val="24"/>
          <w:szCs w:val="24"/>
          <w:lang w:val="ro-RO"/>
        </w:rPr>
        <w:t xml:space="preserve"> will evolve with </w:t>
      </w:r>
      <w:r w:rsidR="00846C68">
        <w:rPr>
          <w:sz w:val="24"/>
          <w:szCs w:val="24"/>
          <w:lang w:val="ro-RO"/>
        </w:rPr>
        <w:t xml:space="preserve">an </w:t>
      </w:r>
      <w:r w:rsidRPr="00334217">
        <w:rPr>
          <w:sz w:val="24"/>
          <w:szCs w:val="24"/>
          <w:lang w:val="ro-RO"/>
        </w:rPr>
        <w:t>annual growth rates below the national average, reaching 778.8 thousand people in 2025, and the average number of employees is forecast</w:t>
      </w:r>
      <w:r>
        <w:rPr>
          <w:sz w:val="24"/>
          <w:szCs w:val="24"/>
          <w:lang w:val="ro-RO"/>
        </w:rPr>
        <w:t>ed</w:t>
      </w:r>
      <w:r w:rsidRPr="00334217">
        <w:rPr>
          <w:sz w:val="24"/>
          <w:szCs w:val="24"/>
          <w:lang w:val="ro-RO"/>
        </w:rPr>
        <w:t xml:space="preserve"> at 435.7 thousand people.</w:t>
      </w:r>
      <w:r w:rsidR="00B16F80" w:rsidRPr="00B16F80">
        <w:t xml:space="preserve"> </w:t>
      </w:r>
      <w:r w:rsidR="00B16F80" w:rsidRPr="00B16F80">
        <w:rPr>
          <w:sz w:val="24"/>
          <w:szCs w:val="24"/>
          <w:lang w:val="ro-RO"/>
        </w:rPr>
        <w:t>The unemployment rate will reach 4.1% by the end of 2025, being the highest rate among all regions</w:t>
      </w:r>
      <w:r w:rsidR="00C65E90">
        <w:rPr>
          <w:sz w:val="24"/>
          <w:szCs w:val="24"/>
          <w:lang w:val="ro-RO"/>
        </w:rPr>
        <w:t>.</w:t>
      </w:r>
      <w:r w:rsidR="00C65E90" w:rsidRPr="00C65E90">
        <w:t xml:space="preserve"> </w:t>
      </w:r>
      <w:r w:rsidR="00C65E90" w:rsidRPr="00C65E90">
        <w:rPr>
          <w:sz w:val="24"/>
          <w:szCs w:val="24"/>
          <w:lang w:val="ro-RO"/>
        </w:rPr>
        <w:t>The net earnings will increase with annual rates located in the area of the national ones, reaching at the end of the forecast</w:t>
      </w:r>
      <w:r w:rsidR="00C65E90">
        <w:rPr>
          <w:sz w:val="24"/>
          <w:szCs w:val="24"/>
          <w:lang w:val="ro-RO"/>
        </w:rPr>
        <w:t>ed</w:t>
      </w:r>
      <w:r w:rsidR="00C65E90" w:rsidRPr="00C65E90">
        <w:rPr>
          <w:sz w:val="24"/>
          <w:szCs w:val="24"/>
          <w:lang w:val="ro-RO"/>
        </w:rPr>
        <w:t xml:space="preserve"> interval at 4223 lei per month.</w:t>
      </w:r>
    </w:p>
    <w:p w:rsidR="00A06FD9" w:rsidRPr="003126E1" w:rsidRDefault="00A06FD9" w:rsidP="00E8432C">
      <w:pPr>
        <w:spacing w:after="120"/>
        <w:jc w:val="both"/>
        <w:rPr>
          <w:sz w:val="24"/>
          <w:szCs w:val="24"/>
          <w:lang w:val="ro-RO"/>
        </w:rPr>
      </w:pPr>
      <w:r w:rsidRPr="00A06FD9">
        <w:rPr>
          <w:sz w:val="24"/>
          <w:szCs w:val="24"/>
          <w:lang w:val="ro-RO"/>
        </w:rPr>
        <w:t xml:space="preserve">For </w:t>
      </w:r>
      <w:r w:rsidRPr="00846C68">
        <w:rPr>
          <w:b/>
          <w:sz w:val="24"/>
          <w:szCs w:val="24"/>
          <w:lang w:val="ro-RO"/>
        </w:rPr>
        <w:t xml:space="preserve">the </w:t>
      </w:r>
      <w:r w:rsidR="00CF3B3B" w:rsidRPr="00846C68">
        <w:rPr>
          <w:b/>
          <w:sz w:val="24"/>
          <w:szCs w:val="24"/>
          <w:lang w:val="ro-RO"/>
        </w:rPr>
        <w:t>West</w:t>
      </w:r>
      <w:r w:rsidRPr="00846C68">
        <w:rPr>
          <w:b/>
          <w:sz w:val="24"/>
          <w:szCs w:val="24"/>
          <w:lang w:val="ro-RO"/>
        </w:rPr>
        <w:t xml:space="preserve"> region</w:t>
      </w:r>
      <w:r>
        <w:rPr>
          <w:sz w:val="24"/>
          <w:szCs w:val="24"/>
          <w:lang w:val="ro-RO"/>
        </w:rPr>
        <w:t>,</w:t>
      </w:r>
      <w:r w:rsidRPr="00A06FD9">
        <w:t xml:space="preserve"> </w:t>
      </w:r>
      <w:r w:rsidRPr="00A06FD9">
        <w:rPr>
          <w:sz w:val="24"/>
          <w:szCs w:val="24"/>
          <w:lang w:val="ro-RO"/>
        </w:rPr>
        <w:t xml:space="preserve">is projected over the entire forecast horizon </w:t>
      </w:r>
      <w:r w:rsidR="00744C3D" w:rsidRPr="007B6036">
        <w:rPr>
          <w:sz w:val="24"/>
          <w:szCs w:val="24"/>
          <w:lang w:val="ro-RO"/>
        </w:rPr>
        <w:t>an average real annual GDP growth</w:t>
      </w:r>
      <w:r>
        <w:rPr>
          <w:sz w:val="24"/>
          <w:szCs w:val="24"/>
          <w:lang w:val="ro-RO"/>
        </w:rPr>
        <w:t xml:space="preserve"> of 4.8%</w:t>
      </w:r>
      <w:r w:rsidRPr="00A06FD9">
        <w:rPr>
          <w:sz w:val="24"/>
          <w:szCs w:val="24"/>
          <w:lang w:val="ro-RO"/>
        </w:rPr>
        <w:t>, slightly below the national average of 4.9%.</w:t>
      </w:r>
      <w:r w:rsidR="00CF3B3B" w:rsidRPr="00CF3B3B">
        <w:t xml:space="preserve"> </w:t>
      </w:r>
      <w:r w:rsidR="00CF3B3B" w:rsidRPr="00CF3B3B">
        <w:rPr>
          <w:sz w:val="24"/>
          <w:szCs w:val="24"/>
          <w:lang w:val="ro-RO"/>
        </w:rPr>
        <w:t>And in the case of the West region, the fastest dynamics is found in the construction sector (7.1%)</w:t>
      </w:r>
      <w:r w:rsidR="00CF3B3B">
        <w:rPr>
          <w:sz w:val="24"/>
          <w:szCs w:val="24"/>
          <w:lang w:val="ro-RO"/>
        </w:rPr>
        <w:t>.</w:t>
      </w:r>
      <w:r w:rsidR="00CF3B3B">
        <w:t xml:space="preserve"> The </w:t>
      </w:r>
      <w:r w:rsidR="00CF3B3B">
        <w:rPr>
          <w:sz w:val="24"/>
          <w:szCs w:val="24"/>
          <w:lang w:val="ro-RO"/>
        </w:rPr>
        <w:t>i</w:t>
      </w:r>
      <w:r w:rsidR="00CF3B3B" w:rsidRPr="00CF3B3B">
        <w:rPr>
          <w:sz w:val="24"/>
          <w:szCs w:val="24"/>
          <w:lang w:val="ro-RO"/>
        </w:rPr>
        <w:t xml:space="preserve">ndustry and </w:t>
      </w:r>
      <w:r w:rsidR="00CF3B3B">
        <w:rPr>
          <w:sz w:val="24"/>
          <w:szCs w:val="24"/>
          <w:lang w:val="ro-RO"/>
        </w:rPr>
        <w:t xml:space="preserve">the </w:t>
      </w:r>
      <w:r w:rsidR="00CF3B3B" w:rsidRPr="00CF3B3B">
        <w:rPr>
          <w:sz w:val="24"/>
          <w:szCs w:val="24"/>
          <w:lang w:val="ro-RO"/>
        </w:rPr>
        <w:t xml:space="preserve">services will have </w:t>
      </w:r>
      <w:r w:rsidR="00846C68">
        <w:rPr>
          <w:sz w:val="24"/>
          <w:szCs w:val="24"/>
          <w:lang w:val="ro-RO"/>
        </w:rPr>
        <w:t xml:space="preserve">the </w:t>
      </w:r>
      <w:r w:rsidR="00CF3B3B" w:rsidRPr="00CF3B3B">
        <w:rPr>
          <w:sz w:val="24"/>
          <w:szCs w:val="24"/>
          <w:lang w:val="ro-RO"/>
        </w:rPr>
        <w:t>average annual dynamics relatively close to 5.0% and 4.6%, respectively.</w:t>
      </w:r>
    </w:p>
    <w:p w:rsidR="00F2168B" w:rsidRPr="003126E1" w:rsidRDefault="00F2168B" w:rsidP="0039044E">
      <w:pPr>
        <w:spacing w:after="120"/>
        <w:jc w:val="both"/>
        <w:rPr>
          <w:sz w:val="24"/>
          <w:szCs w:val="24"/>
          <w:lang w:val="ro-RO"/>
        </w:rPr>
      </w:pPr>
      <w:r>
        <w:rPr>
          <w:sz w:val="24"/>
          <w:szCs w:val="24"/>
          <w:lang w:val="ro-RO"/>
        </w:rPr>
        <w:t>Timiş and Arad counties,</w:t>
      </w:r>
      <w:r w:rsidR="00C82578">
        <w:rPr>
          <w:sz w:val="24"/>
          <w:szCs w:val="24"/>
          <w:lang w:val="ro-RO"/>
        </w:rPr>
        <w:t xml:space="preserve"> </w:t>
      </w:r>
      <w:r w:rsidRPr="00F2168B">
        <w:rPr>
          <w:sz w:val="24"/>
          <w:szCs w:val="24"/>
          <w:lang w:val="ro-RO"/>
        </w:rPr>
        <w:t>the most developed counties in the region, account together for about 70% of regional GDP</w:t>
      </w:r>
      <w:r w:rsidR="00F12BF6">
        <w:rPr>
          <w:sz w:val="24"/>
          <w:szCs w:val="24"/>
          <w:lang w:val="ro-RO"/>
        </w:rPr>
        <w:t>.</w:t>
      </w:r>
      <w:r w:rsidR="00F12BF6" w:rsidRPr="00F12BF6">
        <w:t xml:space="preserve"> </w:t>
      </w:r>
      <w:r w:rsidR="00F12BF6">
        <w:rPr>
          <w:sz w:val="24"/>
          <w:szCs w:val="24"/>
          <w:lang w:val="ro-RO"/>
        </w:rPr>
        <w:t>I</w:t>
      </w:r>
      <w:r w:rsidR="00F12BF6" w:rsidRPr="00F12BF6">
        <w:rPr>
          <w:sz w:val="24"/>
          <w:szCs w:val="24"/>
          <w:lang w:val="ro-RO"/>
        </w:rPr>
        <w:t>n the period 2022-2025</w:t>
      </w:r>
      <w:r w:rsidR="00C82578">
        <w:rPr>
          <w:sz w:val="24"/>
          <w:szCs w:val="24"/>
          <w:lang w:val="ro-RO"/>
        </w:rPr>
        <w:t xml:space="preserve"> </w:t>
      </w:r>
      <w:r w:rsidR="00F12BF6">
        <w:rPr>
          <w:sz w:val="24"/>
          <w:szCs w:val="24"/>
          <w:lang w:val="ro-RO"/>
        </w:rPr>
        <w:t xml:space="preserve">,for Timiş </w:t>
      </w:r>
      <w:r w:rsidR="006824BC">
        <w:rPr>
          <w:sz w:val="24"/>
          <w:szCs w:val="24"/>
          <w:lang w:val="ro-RO"/>
        </w:rPr>
        <w:t>County</w:t>
      </w:r>
      <w:r w:rsidR="00F12BF6" w:rsidRPr="00F12BF6">
        <w:rPr>
          <w:sz w:val="24"/>
          <w:szCs w:val="24"/>
          <w:lang w:val="ro-RO"/>
        </w:rPr>
        <w:t xml:space="preserve"> is estimated a </w:t>
      </w:r>
      <w:r w:rsidR="004A2679">
        <w:rPr>
          <w:sz w:val="24"/>
          <w:szCs w:val="24"/>
          <w:lang w:val="ro-RO"/>
        </w:rPr>
        <w:t xml:space="preserve">real increase in annual average </w:t>
      </w:r>
      <w:r w:rsidR="00F12BF6" w:rsidRPr="00F12BF6">
        <w:rPr>
          <w:sz w:val="24"/>
          <w:szCs w:val="24"/>
          <w:lang w:val="ro-RO"/>
        </w:rPr>
        <w:t xml:space="preserve">GDP of 5.2% and for Arad </w:t>
      </w:r>
      <w:r w:rsidR="006824BC">
        <w:rPr>
          <w:sz w:val="24"/>
          <w:szCs w:val="24"/>
          <w:lang w:val="ro-RO"/>
        </w:rPr>
        <w:t>County</w:t>
      </w:r>
      <w:r w:rsidR="00F12BF6" w:rsidRPr="00F12BF6">
        <w:rPr>
          <w:sz w:val="24"/>
          <w:szCs w:val="24"/>
          <w:lang w:val="ro-RO"/>
        </w:rPr>
        <w:t xml:space="preserve"> an average GDP growth of 4.5%.</w:t>
      </w:r>
      <w:r w:rsidR="008113EE" w:rsidRPr="008113EE">
        <w:t xml:space="preserve"> </w:t>
      </w:r>
      <w:r w:rsidR="008113EE" w:rsidRPr="008113EE">
        <w:rPr>
          <w:sz w:val="24"/>
          <w:szCs w:val="24"/>
          <w:lang w:val="ro-RO"/>
        </w:rPr>
        <w:t>For Hunedoara and Caraş-Severin counties, real growth is forecast</w:t>
      </w:r>
      <w:r w:rsidR="008113EE">
        <w:rPr>
          <w:sz w:val="24"/>
          <w:szCs w:val="24"/>
          <w:lang w:val="ro-RO"/>
        </w:rPr>
        <w:t>ed</w:t>
      </w:r>
      <w:r w:rsidR="008113EE" w:rsidRPr="008113EE">
        <w:rPr>
          <w:sz w:val="24"/>
          <w:szCs w:val="24"/>
          <w:lang w:val="ro-RO"/>
        </w:rPr>
        <w:t xml:space="preserve"> as an average annual GDP of 4.3% and 4.4%, respectively, both counties having a modest contribution to the creation of regional GDP.</w:t>
      </w:r>
    </w:p>
    <w:p w:rsidR="002A44E9" w:rsidRDefault="00C402B7" w:rsidP="0039044E">
      <w:pPr>
        <w:spacing w:after="120"/>
        <w:jc w:val="both"/>
        <w:rPr>
          <w:sz w:val="24"/>
          <w:szCs w:val="24"/>
          <w:lang w:val="ro-RO"/>
        </w:rPr>
      </w:pPr>
      <w:r w:rsidRPr="00C9365F">
        <w:rPr>
          <w:b/>
          <w:sz w:val="24"/>
          <w:szCs w:val="24"/>
          <w:lang w:val="ro-RO"/>
        </w:rPr>
        <w:t xml:space="preserve">Timiş </w:t>
      </w:r>
      <w:r w:rsidR="006824BC">
        <w:rPr>
          <w:sz w:val="24"/>
          <w:szCs w:val="24"/>
          <w:lang w:val="ro-RO"/>
        </w:rPr>
        <w:t>County</w:t>
      </w:r>
      <w:r w:rsidRPr="00C402B7">
        <w:rPr>
          <w:sz w:val="24"/>
          <w:szCs w:val="24"/>
          <w:lang w:val="ro-RO"/>
        </w:rPr>
        <w:t>, the main pole of economic development of the West region (realizes 50% of the regional GDP), registered in 2021 a substantial economic growth (7.8%) managing to compensate the economic contraction from 2020, although it was the m</w:t>
      </w:r>
      <w:r>
        <w:rPr>
          <w:sz w:val="24"/>
          <w:szCs w:val="24"/>
          <w:lang w:val="ro-RO"/>
        </w:rPr>
        <w:t>ost</w:t>
      </w:r>
      <w:r w:rsidRPr="00C402B7">
        <w:rPr>
          <w:sz w:val="24"/>
          <w:szCs w:val="24"/>
          <w:lang w:val="ro-RO"/>
        </w:rPr>
        <w:t xml:space="preserve"> affected by the health crisis.</w:t>
      </w:r>
      <w:r w:rsidR="00853222" w:rsidRPr="00853222">
        <w:t xml:space="preserve"> </w:t>
      </w:r>
      <w:r w:rsidR="00853222" w:rsidRPr="00853222">
        <w:rPr>
          <w:sz w:val="24"/>
          <w:szCs w:val="24"/>
          <w:lang w:val="ro-RO"/>
        </w:rPr>
        <w:t xml:space="preserve">The machine building industry remains the main industrial branch that will support the </w:t>
      </w:r>
      <w:r w:rsidR="006824BC">
        <w:rPr>
          <w:sz w:val="24"/>
          <w:szCs w:val="24"/>
          <w:lang w:val="ro-RO"/>
        </w:rPr>
        <w:t>County</w:t>
      </w:r>
      <w:r w:rsidR="00853222" w:rsidRPr="00853222">
        <w:rPr>
          <w:sz w:val="24"/>
          <w:szCs w:val="24"/>
          <w:lang w:val="ro-RO"/>
        </w:rPr>
        <w:t>'s economic growth,</w:t>
      </w:r>
      <w:r w:rsidR="00212531" w:rsidRPr="00212531">
        <w:t xml:space="preserve"> </w:t>
      </w:r>
      <w:r w:rsidR="00212531" w:rsidRPr="00212531">
        <w:rPr>
          <w:sz w:val="24"/>
          <w:szCs w:val="24"/>
          <w:lang w:val="ro-RO"/>
        </w:rPr>
        <w:t>announcing</w:t>
      </w:r>
      <w:r w:rsidR="00212531">
        <w:rPr>
          <w:sz w:val="24"/>
          <w:szCs w:val="24"/>
          <w:lang w:val="ro-RO"/>
        </w:rPr>
        <w:t xml:space="preserve"> that</w:t>
      </w:r>
      <w:r w:rsidR="00853222" w:rsidRPr="00853222">
        <w:rPr>
          <w:sz w:val="24"/>
          <w:szCs w:val="24"/>
          <w:lang w:val="ro-RO"/>
        </w:rPr>
        <w:t xml:space="preserve"> major investments</w:t>
      </w:r>
      <w:r w:rsidR="00853222">
        <w:rPr>
          <w:sz w:val="24"/>
          <w:szCs w:val="24"/>
          <w:lang w:val="ro-RO"/>
        </w:rPr>
        <w:t xml:space="preserve"> will be made</w:t>
      </w:r>
      <w:r w:rsidR="00853222" w:rsidRPr="00853222">
        <w:rPr>
          <w:sz w:val="24"/>
          <w:szCs w:val="24"/>
          <w:lang w:val="ro-RO"/>
        </w:rPr>
        <w:t xml:space="preserve"> in the next period as well.</w:t>
      </w:r>
      <w:r w:rsidR="002A44E9" w:rsidRPr="002A44E9">
        <w:t xml:space="preserve"> </w:t>
      </w:r>
      <w:r w:rsidR="002A44E9" w:rsidRPr="002A44E9">
        <w:rPr>
          <w:sz w:val="24"/>
          <w:szCs w:val="24"/>
          <w:lang w:val="ro-RO"/>
        </w:rPr>
        <w:t xml:space="preserve">For Timiş </w:t>
      </w:r>
      <w:r w:rsidR="006824BC">
        <w:rPr>
          <w:sz w:val="24"/>
          <w:szCs w:val="24"/>
          <w:lang w:val="ro-RO"/>
        </w:rPr>
        <w:t>County</w:t>
      </w:r>
      <w:r w:rsidR="002A44E9" w:rsidRPr="002A44E9">
        <w:rPr>
          <w:sz w:val="24"/>
          <w:szCs w:val="24"/>
          <w:lang w:val="ro-RO"/>
        </w:rPr>
        <w:t>, is pro</w:t>
      </w:r>
      <w:r w:rsidR="002A44E9">
        <w:rPr>
          <w:sz w:val="24"/>
          <w:szCs w:val="24"/>
          <w:lang w:val="ro-RO"/>
        </w:rPr>
        <w:t>jected for the period 2022-2025</w:t>
      </w:r>
      <w:r w:rsidR="002A44E9" w:rsidRPr="002A44E9">
        <w:rPr>
          <w:sz w:val="24"/>
          <w:szCs w:val="24"/>
          <w:lang w:val="ro-RO"/>
        </w:rPr>
        <w:t xml:space="preserve"> an average annual increase in GVA in industry of 5.8%</w:t>
      </w:r>
      <w:r w:rsidR="002A44E9">
        <w:rPr>
          <w:sz w:val="24"/>
          <w:szCs w:val="24"/>
          <w:lang w:val="ro-RO"/>
        </w:rPr>
        <w:t>.</w:t>
      </w:r>
      <w:r w:rsidR="002A44E9" w:rsidRPr="002A44E9">
        <w:rPr>
          <w:sz w:val="24"/>
          <w:szCs w:val="24"/>
          <w:lang w:val="ro-RO"/>
        </w:rPr>
        <w:t xml:space="preserve"> </w:t>
      </w:r>
      <w:r w:rsidR="00DD65C1" w:rsidRPr="00DD65C1">
        <w:rPr>
          <w:sz w:val="24"/>
          <w:szCs w:val="24"/>
          <w:lang w:val="ro-RO"/>
        </w:rPr>
        <w:t>The construction branch had a downward trend in 2021, registering a decrease in GVA of 0.4%.</w:t>
      </w:r>
      <w:r w:rsidR="00DD65C1">
        <w:rPr>
          <w:sz w:val="24"/>
          <w:szCs w:val="24"/>
          <w:lang w:val="ro-RO"/>
        </w:rPr>
        <w:t xml:space="preserve"> </w:t>
      </w:r>
      <w:r w:rsidR="00DD65C1" w:rsidRPr="00DD65C1">
        <w:rPr>
          <w:sz w:val="24"/>
          <w:szCs w:val="24"/>
          <w:lang w:val="ro-RO"/>
        </w:rPr>
        <w:t>For the period 2022-2025 we estimate increases both in the field of residential construction and in the field of engineering construction, in the context of announcing major projects, supported by the Government and the European Union</w:t>
      </w:r>
      <w:r w:rsidR="00DD65C1">
        <w:rPr>
          <w:sz w:val="24"/>
          <w:szCs w:val="24"/>
          <w:lang w:val="ro-RO"/>
        </w:rPr>
        <w:t>.</w:t>
      </w:r>
      <w:r w:rsidR="00FD3093" w:rsidRPr="00FD3093">
        <w:t xml:space="preserve"> </w:t>
      </w:r>
      <w:r w:rsidR="00FD3093" w:rsidRPr="00FD3093">
        <w:rPr>
          <w:sz w:val="24"/>
          <w:szCs w:val="24"/>
          <w:lang w:val="ro-RO"/>
        </w:rPr>
        <w:t xml:space="preserve">The services had an important contribution to the positive evolution of the economy (54% of the </w:t>
      </w:r>
      <w:r w:rsidR="006824BC">
        <w:rPr>
          <w:sz w:val="24"/>
          <w:szCs w:val="24"/>
          <w:lang w:val="ro-RO"/>
        </w:rPr>
        <w:lastRenderedPageBreak/>
        <w:t>County</w:t>
      </w:r>
      <w:r w:rsidR="00FD3093" w:rsidRPr="00FD3093">
        <w:rPr>
          <w:sz w:val="24"/>
          <w:szCs w:val="24"/>
          <w:lang w:val="ro-RO"/>
        </w:rPr>
        <w:t>'s GDP), noting the field of information and communications as well as the revival of the Horeca branch.</w:t>
      </w:r>
    </w:p>
    <w:p w:rsidR="00D96834" w:rsidRPr="003126E1" w:rsidRDefault="00D96834" w:rsidP="0039044E">
      <w:pPr>
        <w:spacing w:after="120"/>
        <w:jc w:val="both"/>
        <w:rPr>
          <w:sz w:val="24"/>
          <w:szCs w:val="24"/>
          <w:lang w:val="ro-RO"/>
        </w:rPr>
      </w:pPr>
      <w:r w:rsidRPr="00C9365F">
        <w:rPr>
          <w:b/>
          <w:sz w:val="24"/>
          <w:szCs w:val="24"/>
          <w:lang w:val="ro-RO"/>
        </w:rPr>
        <w:t>Arad</w:t>
      </w:r>
      <w:r w:rsidRPr="00D96834">
        <w:rPr>
          <w:sz w:val="24"/>
          <w:szCs w:val="24"/>
          <w:lang w:val="ro-RO"/>
        </w:rPr>
        <w:t xml:space="preserve"> </w:t>
      </w:r>
      <w:r w:rsidR="006824BC">
        <w:rPr>
          <w:sz w:val="24"/>
          <w:szCs w:val="24"/>
          <w:lang w:val="ro-RO"/>
        </w:rPr>
        <w:t>County</w:t>
      </w:r>
      <w:r w:rsidRPr="00D96834">
        <w:rPr>
          <w:sz w:val="24"/>
          <w:szCs w:val="24"/>
          <w:lang w:val="ro-RO"/>
        </w:rPr>
        <w:t xml:space="preserve">, with a share of 22% in the formation of the regional gross domestic product, is the second most important </w:t>
      </w:r>
      <w:r w:rsidR="006824BC">
        <w:rPr>
          <w:sz w:val="24"/>
          <w:szCs w:val="24"/>
          <w:lang w:val="ro-RO"/>
        </w:rPr>
        <w:t>County</w:t>
      </w:r>
      <w:r w:rsidRPr="00D96834">
        <w:rPr>
          <w:sz w:val="24"/>
          <w:szCs w:val="24"/>
          <w:lang w:val="ro-RO"/>
        </w:rPr>
        <w:t xml:space="preserve"> in the region</w:t>
      </w:r>
      <w:r>
        <w:rPr>
          <w:sz w:val="24"/>
          <w:szCs w:val="24"/>
          <w:lang w:val="ro-RO"/>
        </w:rPr>
        <w:t>.</w:t>
      </w:r>
      <w:r w:rsidR="002B4253" w:rsidRPr="002B4253">
        <w:t xml:space="preserve"> </w:t>
      </w:r>
      <w:r w:rsidR="002B4253" w:rsidRPr="002B4253">
        <w:rPr>
          <w:sz w:val="24"/>
          <w:szCs w:val="24"/>
          <w:lang w:val="ro-RO"/>
        </w:rPr>
        <w:t xml:space="preserve">The economic evolution of Arad </w:t>
      </w:r>
      <w:r w:rsidR="006824BC">
        <w:rPr>
          <w:sz w:val="24"/>
          <w:szCs w:val="24"/>
          <w:lang w:val="ro-RO"/>
        </w:rPr>
        <w:t>County</w:t>
      </w:r>
      <w:r w:rsidR="002B4253" w:rsidRPr="002B4253">
        <w:rPr>
          <w:sz w:val="24"/>
          <w:szCs w:val="24"/>
          <w:lang w:val="ro-RO"/>
        </w:rPr>
        <w:t xml:space="preserve"> is very close to the evolution of Timiş </w:t>
      </w:r>
      <w:r w:rsidR="006824BC">
        <w:rPr>
          <w:sz w:val="24"/>
          <w:szCs w:val="24"/>
          <w:lang w:val="ro-RO"/>
        </w:rPr>
        <w:t>County</w:t>
      </w:r>
      <w:r w:rsidR="002B4253" w:rsidRPr="002B4253">
        <w:rPr>
          <w:sz w:val="24"/>
          <w:szCs w:val="24"/>
          <w:lang w:val="ro-RO"/>
        </w:rPr>
        <w:t>.</w:t>
      </w:r>
      <w:r w:rsidR="002B4253" w:rsidRPr="002B4253">
        <w:t xml:space="preserve"> </w:t>
      </w:r>
      <w:r w:rsidR="002B4253" w:rsidRPr="002B4253">
        <w:rPr>
          <w:sz w:val="24"/>
          <w:szCs w:val="24"/>
          <w:lang w:val="ro-RO"/>
        </w:rPr>
        <w:t xml:space="preserve">In 2021, the economy of Arad </w:t>
      </w:r>
      <w:r w:rsidR="006824BC">
        <w:rPr>
          <w:sz w:val="24"/>
          <w:szCs w:val="24"/>
          <w:lang w:val="ro-RO"/>
        </w:rPr>
        <w:t>County</w:t>
      </w:r>
      <w:r w:rsidR="002B4253" w:rsidRPr="002B4253">
        <w:rPr>
          <w:sz w:val="24"/>
          <w:szCs w:val="24"/>
          <w:lang w:val="ro-RO"/>
        </w:rPr>
        <w:t xml:space="preserve"> overcame the bad period due to the pandemic, registering a GDP growth of 5.8%</w:t>
      </w:r>
      <w:r w:rsidR="002B4253">
        <w:rPr>
          <w:sz w:val="24"/>
          <w:szCs w:val="24"/>
          <w:lang w:val="ro-RO"/>
        </w:rPr>
        <w:t>.</w:t>
      </w:r>
      <w:r w:rsidR="002B4253" w:rsidRPr="002B4253">
        <w:t xml:space="preserve"> </w:t>
      </w:r>
      <w:r w:rsidR="002B4253" w:rsidRPr="002B4253">
        <w:rPr>
          <w:sz w:val="24"/>
          <w:szCs w:val="24"/>
          <w:lang w:val="ro-RO"/>
        </w:rPr>
        <w:t xml:space="preserve">The industry of Arad </w:t>
      </w:r>
      <w:r w:rsidR="006824BC">
        <w:rPr>
          <w:sz w:val="24"/>
          <w:szCs w:val="24"/>
          <w:lang w:val="ro-RO"/>
        </w:rPr>
        <w:t>County</w:t>
      </w:r>
      <w:r w:rsidR="002B4253" w:rsidRPr="002B4253">
        <w:rPr>
          <w:sz w:val="24"/>
          <w:szCs w:val="24"/>
          <w:lang w:val="ro-RO"/>
        </w:rPr>
        <w:t xml:space="preserve">, represented by the manufacture of electrical and electronic equipment for cars and motor vehicles, registered in 2021 an increase of 0.6% (Arad </w:t>
      </w:r>
      <w:r w:rsidR="006824BC">
        <w:rPr>
          <w:sz w:val="24"/>
          <w:szCs w:val="24"/>
          <w:lang w:val="ro-RO"/>
        </w:rPr>
        <w:t>County</w:t>
      </w:r>
      <w:r w:rsidR="002B4253" w:rsidRPr="002B4253">
        <w:rPr>
          <w:sz w:val="24"/>
          <w:szCs w:val="24"/>
          <w:lang w:val="ro-RO"/>
        </w:rPr>
        <w:t xml:space="preserve"> participates with over 23% in the creation of gross value added from industry at regional level).</w:t>
      </w:r>
      <w:r w:rsidR="00185EE9" w:rsidRPr="00185EE9">
        <w:t xml:space="preserve"> </w:t>
      </w:r>
      <w:r w:rsidR="00185EE9" w:rsidRPr="00185EE9">
        <w:rPr>
          <w:sz w:val="24"/>
          <w:szCs w:val="24"/>
          <w:lang w:val="ro-RO"/>
        </w:rPr>
        <w:t>It is noteworthy that for the period 2022-2025 are expected significant increases in industry (an annual average of about 6%).</w:t>
      </w:r>
    </w:p>
    <w:p w:rsidR="008A599C" w:rsidRPr="003126E1" w:rsidRDefault="008A599C" w:rsidP="0039044E">
      <w:pPr>
        <w:spacing w:after="120"/>
        <w:jc w:val="both"/>
        <w:rPr>
          <w:sz w:val="24"/>
          <w:szCs w:val="24"/>
          <w:lang w:val="ro-RO"/>
        </w:rPr>
      </w:pPr>
      <w:r w:rsidRPr="00C9365F">
        <w:rPr>
          <w:b/>
          <w:sz w:val="24"/>
          <w:szCs w:val="24"/>
          <w:lang w:val="ro-RO"/>
        </w:rPr>
        <w:t xml:space="preserve">Hunedoara </w:t>
      </w:r>
      <w:r w:rsidR="006824BC">
        <w:rPr>
          <w:sz w:val="24"/>
          <w:szCs w:val="24"/>
          <w:lang w:val="ro-RO"/>
        </w:rPr>
        <w:t>County</w:t>
      </w:r>
      <w:r w:rsidRPr="008A599C">
        <w:rPr>
          <w:sz w:val="24"/>
          <w:szCs w:val="24"/>
          <w:lang w:val="ro-RO"/>
        </w:rPr>
        <w:t xml:space="preserve"> is the third most important </w:t>
      </w:r>
      <w:r w:rsidR="006824BC">
        <w:rPr>
          <w:sz w:val="24"/>
          <w:szCs w:val="24"/>
          <w:lang w:val="ro-RO"/>
        </w:rPr>
        <w:t>County</w:t>
      </w:r>
      <w:r w:rsidRPr="008A599C">
        <w:rPr>
          <w:sz w:val="24"/>
          <w:szCs w:val="24"/>
          <w:lang w:val="ro-RO"/>
        </w:rPr>
        <w:t xml:space="preserve"> in the region, with a low contribution</w:t>
      </w:r>
      <w:r w:rsidR="00DE70F9">
        <w:rPr>
          <w:sz w:val="24"/>
          <w:szCs w:val="24"/>
          <w:lang w:val="ro-RO"/>
        </w:rPr>
        <w:t>,</w:t>
      </w:r>
      <w:r w:rsidRPr="008A599C">
        <w:rPr>
          <w:sz w:val="24"/>
          <w:szCs w:val="24"/>
          <w:lang w:val="ro-RO"/>
        </w:rPr>
        <w:t xml:space="preserve"> </w:t>
      </w:r>
      <w:r w:rsidR="00DE70F9">
        <w:rPr>
          <w:sz w:val="24"/>
          <w:szCs w:val="24"/>
          <w:lang w:val="ro-RO"/>
        </w:rPr>
        <w:t xml:space="preserve">of only 17%, </w:t>
      </w:r>
      <w:r w:rsidRPr="008A599C">
        <w:rPr>
          <w:sz w:val="24"/>
          <w:szCs w:val="24"/>
          <w:lang w:val="ro-RO"/>
        </w:rPr>
        <w:t xml:space="preserve">to the realization of the </w:t>
      </w:r>
      <w:r>
        <w:rPr>
          <w:sz w:val="24"/>
          <w:szCs w:val="24"/>
          <w:lang w:val="ro-RO"/>
        </w:rPr>
        <w:t>regional gross domestic product.</w:t>
      </w:r>
      <w:r w:rsidRPr="008A599C">
        <w:rPr>
          <w:sz w:val="24"/>
          <w:szCs w:val="24"/>
          <w:lang w:val="ro-RO"/>
        </w:rPr>
        <w:t xml:space="preserve"> </w:t>
      </w:r>
      <w:r w:rsidR="00C67B4B" w:rsidRPr="00C67B4B">
        <w:rPr>
          <w:sz w:val="24"/>
          <w:szCs w:val="24"/>
          <w:lang w:val="ro-RO"/>
        </w:rPr>
        <w:t xml:space="preserve">In 2021, </w:t>
      </w:r>
      <w:r w:rsidR="00C82578">
        <w:rPr>
          <w:sz w:val="24"/>
          <w:szCs w:val="24"/>
          <w:lang w:val="ro-RO"/>
        </w:rPr>
        <w:t>it</w:t>
      </w:r>
      <w:r w:rsidR="00C67B4B">
        <w:rPr>
          <w:sz w:val="24"/>
          <w:szCs w:val="24"/>
          <w:lang w:val="ro-RO"/>
        </w:rPr>
        <w:t xml:space="preserve"> </w:t>
      </w:r>
      <w:r w:rsidR="00C67B4B" w:rsidRPr="00C67B4B">
        <w:rPr>
          <w:sz w:val="24"/>
          <w:szCs w:val="24"/>
          <w:lang w:val="ro-RO"/>
        </w:rPr>
        <w:t>registered a GDP growth of 7.5%.</w:t>
      </w:r>
      <w:r w:rsidR="00C9365F">
        <w:rPr>
          <w:sz w:val="24"/>
          <w:szCs w:val="24"/>
          <w:lang w:val="ro-RO"/>
        </w:rPr>
        <w:t xml:space="preserve"> </w:t>
      </w:r>
      <w:r w:rsidR="0051747E" w:rsidRPr="0051747E">
        <w:rPr>
          <w:sz w:val="24"/>
          <w:szCs w:val="24"/>
          <w:lang w:val="ro-RO"/>
        </w:rPr>
        <w:t xml:space="preserve">The industry in Hunedoara </w:t>
      </w:r>
      <w:r w:rsidR="006824BC">
        <w:rPr>
          <w:sz w:val="24"/>
          <w:szCs w:val="24"/>
          <w:lang w:val="ro-RO"/>
        </w:rPr>
        <w:t>County</w:t>
      </w:r>
      <w:r w:rsidR="0051747E" w:rsidRPr="0051747E">
        <w:rPr>
          <w:sz w:val="24"/>
          <w:szCs w:val="24"/>
          <w:lang w:val="ro-RO"/>
        </w:rPr>
        <w:t xml:space="preserve"> does not know the development of the neighboring counties, Arad and Timis, having a small contribution</w:t>
      </w:r>
      <w:r w:rsidR="0051747E">
        <w:rPr>
          <w:sz w:val="24"/>
          <w:szCs w:val="24"/>
          <w:lang w:val="ro-RO"/>
        </w:rPr>
        <w:t>,</w:t>
      </w:r>
      <w:r w:rsidR="0051747E" w:rsidRPr="0051747E">
        <w:rPr>
          <w:sz w:val="24"/>
          <w:szCs w:val="24"/>
          <w:lang w:val="ro-RO"/>
        </w:rPr>
        <w:t xml:space="preserve"> </w:t>
      </w:r>
      <w:r w:rsidR="0051747E">
        <w:rPr>
          <w:sz w:val="24"/>
          <w:szCs w:val="24"/>
          <w:lang w:val="ro-RO"/>
        </w:rPr>
        <w:t>of about 15%,</w:t>
      </w:r>
      <w:r w:rsidR="0051747E" w:rsidRPr="0051747E">
        <w:rPr>
          <w:sz w:val="24"/>
          <w:szCs w:val="24"/>
          <w:lang w:val="ro-RO"/>
        </w:rPr>
        <w:t xml:space="preserve"> to the creation of the gross added va</w:t>
      </w:r>
      <w:r w:rsidR="0051747E">
        <w:rPr>
          <w:sz w:val="24"/>
          <w:szCs w:val="24"/>
          <w:lang w:val="ro-RO"/>
        </w:rPr>
        <w:t>lue from the regional industry.</w:t>
      </w:r>
      <w:r w:rsidR="0042632F" w:rsidRPr="0042632F">
        <w:t xml:space="preserve"> </w:t>
      </w:r>
      <w:r w:rsidR="0042632F">
        <w:rPr>
          <w:sz w:val="24"/>
          <w:szCs w:val="24"/>
          <w:lang w:val="ro-RO"/>
        </w:rPr>
        <w:t xml:space="preserve">In the period 2022-2025, after </w:t>
      </w:r>
      <w:r w:rsidR="0042632F" w:rsidRPr="0042632F">
        <w:rPr>
          <w:sz w:val="24"/>
          <w:szCs w:val="24"/>
          <w:lang w:val="ro-RO"/>
        </w:rPr>
        <w:t>start</w:t>
      </w:r>
      <w:r w:rsidR="0042632F">
        <w:rPr>
          <w:sz w:val="24"/>
          <w:szCs w:val="24"/>
          <w:lang w:val="ro-RO"/>
        </w:rPr>
        <w:t>ing</w:t>
      </w:r>
      <w:r w:rsidR="0042632F" w:rsidRPr="0042632F">
        <w:rPr>
          <w:sz w:val="24"/>
          <w:szCs w:val="24"/>
          <w:lang w:val="ro-RO"/>
        </w:rPr>
        <w:t xml:space="preserve"> the main infrastructure projects, Hunedoara </w:t>
      </w:r>
      <w:r w:rsidR="006824BC">
        <w:rPr>
          <w:sz w:val="24"/>
          <w:szCs w:val="24"/>
          <w:lang w:val="ro-RO"/>
        </w:rPr>
        <w:t>County</w:t>
      </w:r>
      <w:r w:rsidR="0042632F" w:rsidRPr="0042632F">
        <w:rPr>
          <w:sz w:val="24"/>
          <w:szCs w:val="24"/>
          <w:lang w:val="ro-RO"/>
        </w:rPr>
        <w:t xml:space="preserve"> has the chance to become attractive for the main investors in the industry</w:t>
      </w:r>
      <w:r w:rsidR="00DE57AB">
        <w:rPr>
          <w:sz w:val="24"/>
          <w:szCs w:val="24"/>
          <w:lang w:val="ro-RO"/>
        </w:rPr>
        <w:t>.</w:t>
      </w:r>
      <w:r w:rsidR="00C4221F" w:rsidRPr="00C4221F">
        <w:t xml:space="preserve"> </w:t>
      </w:r>
      <w:r w:rsidR="00C4221F" w:rsidRPr="00C4221F">
        <w:rPr>
          <w:sz w:val="24"/>
          <w:szCs w:val="24"/>
          <w:lang w:val="ro-RO"/>
        </w:rPr>
        <w:t xml:space="preserve">These projects will strongly stimulate the construction branch in the coming years, </w:t>
      </w:r>
      <w:r w:rsidR="00C4221F">
        <w:rPr>
          <w:sz w:val="24"/>
          <w:szCs w:val="24"/>
          <w:lang w:val="ro-RO"/>
        </w:rPr>
        <w:t xml:space="preserve">so </w:t>
      </w:r>
      <w:r w:rsidR="00C4221F" w:rsidRPr="00C4221F">
        <w:rPr>
          <w:sz w:val="24"/>
          <w:szCs w:val="24"/>
          <w:lang w:val="ro-RO"/>
        </w:rPr>
        <w:t>the cities of Deva and Hunedoara will be directly connected to the major European road corridors.</w:t>
      </w:r>
    </w:p>
    <w:p w:rsidR="009F4797" w:rsidRPr="003126E1" w:rsidRDefault="009F4797" w:rsidP="0039044E">
      <w:pPr>
        <w:spacing w:after="120"/>
        <w:jc w:val="both"/>
        <w:rPr>
          <w:sz w:val="24"/>
          <w:szCs w:val="24"/>
          <w:lang w:val="ro-RO"/>
        </w:rPr>
      </w:pPr>
      <w:r w:rsidRPr="00C9365F">
        <w:rPr>
          <w:b/>
          <w:sz w:val="24"/>
          <w:szCs w:val="24"/>
          <w:lang w:val="ro-RO"/>
        </w:rPr>
        <w:t>Caraş-Severin</w:t>
      </w:r>
      <w:r w:rsidRPr="009F4797">
        <w:rPr>
          <w:sz w:val="24"/>
          <w:szCs w:val="24"/>
          <w:lang w:val="ro-RO"/>
        </w:rPr>
        <w:t xml:space="preserve"> </w:t>
      </w:r>
      <w:r w:rsidR="006824BC">
        <w:rPr>
          <w:sz w:val="24"/>
          <w:szCs w:val="24"/>
          <w:lang w:val="ro-RO"/>
        </w:rPr>
        <w:t>County</w:t>
      </w:r>
      <w:r w:rsidRPr="009F4797">
        <w:rPr>
          <w:sz w:val="24"/>
          <w:szCs w:val="24"/>
          <w:lang w:val="ro-RO"/>
        </w:rPr>
        <w:t xml:space="preserve"> participates with only 11% in the creation of the r</w:t>
      </w:r>
      <w:r>
        <w:rPr>
          <w:sz w:val="24"/>
          <w:szCs w:val="24"/>
          <w:lang w:val="ro-RO"/>
        </w:rPr>
        <w:t xml:space="preserve">egional gross domestic product, </w:t>
      </w:r>
      <w:r w:rsidR="0089366E">
        <w:rPr>
          <w:sz w:val="24"/>
          <w:szCs w:val="24"/>
          <w:lang w:val="ro-RO"/>
        </w:rPr>
        <w:t>wit</w:t>
      </w:r>
      <w:r w:rsidRPr="009F4797">
        <w:rPr>
          <w:sz w:val="24"/>
          <w:szCs w:val="24"/>
          <w:lang w:val="ro-RO"/>
        </w:rPr>
        <w:t xml:space="preserve"> a GDP growth of 7.3% in 2021</w:t>
      </w:r>
      <w:r w:rsidR="00C9365F">
        <w:rPr>
          <w:sz w:val="24"/>
          <w:szCs w:val="24"/>
          <w:lang w:val="ro-RO"/>
        </w:rPr>
        <w:t xml:space="preserve"> is</w:t>
      </w:r>
      <w:r w:rsidRPr="009F4797">
        <w:rPr>
          <w:sz w:val="24"/>
          <w:szCs w:val="24"/>
          <w:lang w:val="ro-RO"/>
        </w:rPr>
        <w:t xml:space="preserve"> the least developed </w:t>
      </w:r>
      <w:r w:rsidR="006824BC">
        <w:rPr>
          <w:sz w:val="24"/>
          <w:szCs w:val="24"/>
          <w:lang w:val="ro-RO"/>
        </w:rPr>
        <w:t>County</w:t>
      </w:r>
      <w:r w:rsidRPr="009F4797">
        <w:rPr>
          <w:sz w:val="24"/>
          <w:szCs w:val="24"/>
          <w:lang w:val="ro-RO"/>
        </w:rPr>
        <w:t xml:space="preserve"> in the region</w:t>
      </w:r>
      <w:r w:rsidR="00AA733D">
        <w:rPr>
          <w:sz w:val="24"/>
          <w:szCs w:val="24"/>
          <w:lang w:val="ro-RO"/>
        </w:rPr>
        <w:t>.</w:t>
      </w:r>
      <w:r w:rsidR="0089366E" w:rsidRPr="0089366E">
        <w:t xml:space="preserve"> </w:t>
      </w:r>
      <w:r w:rsidR="0089366E" w:rsidRPr="0089366E">
        <w:rPr>
          <w:sz w:val="24"/>
          <w:szCs w:val="24"/>
          <w:lang w:val="ro-RO"/>
        </w:rPr>
        <w:t xml:space="preserve">The local availability of the labor force will determine the reorientation of foreign investors towards this </w:t>
      </w:r>
      <w:r w:rsidR="006824BC">
        <w:rPr>
          <w:sz w:val="24"/>
          <w:szCs w:val="24"/>
          <w:lang w:val="ro-RO"/>
        </w:rPr>
        <w:t>County</w:t>
      </w:r>
      <w:r w:rsidR="0089366E" w:rsidRPr="0089366E">
        <w:rPr>
          <w:sz w:val="24"/>
          <w:szCs w:val="24"/>
          <w:lang w:val="ro-RO"/>
        </w:rPr>
        <w:t xml:space="preserve"> in the next period, the counties of Timiş and Arad facing an accentuated lack of labor force</w:t>
      </w:r>
      <w:r w:rsidR="0089366E">
        <w:rPr>
          <w:sz w:val="24"/>
          <w:szCs w:val="24"/>
          <w:lang w:val="ro-RO"/>
        </w:rPr>
        <w:t>.</w:t>
      </w:r>
      <w:r w:rsidR="0033535E" w:rsidRPr="0033535E">
        <w:t xml:space="preserve"> </w:t>
      </w:r>
      <w:r w:rsidR="0033535E" w:rsidRPr="0033535E">
        <w:rPr>
          <w:sz w:val="24"/>
          <w:szCs w:val="24"/>
          <w:lang w:val="ro-RO"/>
        </w:rPr>
        <w:t>The industry, with an increase in GVA of 6.4% in 2021, still remains far from the extent of this branch in the counties of Timiş and Arad</w:t>
      </w:r>
      <w:r w:rsidR="0033535E">
        <w:rPr>
          <w:sz w:val="24"/>
          <w:szCs w:val="24"/>
          <w:lang w:val="ro-RO"/>
        </w:rPr>
        <w:t>.</w:t>
      </w:r>
      <w:r w:rsidR="00B23EB7" w:rsidRPr="00B23EB7">
        <w:t xml:space="preserve"> </w:t>
      </w:r>
      <w:r w:rsidR="00B23EB7" w:rsidRPr="00B23EB7">
        <w:rPr>
          <w:sz w:val="24"/>
          <w:szCs w:val="24"/>
          <w:lang w:val="ro-RO"/>
        </w:rPr>
        <w:t xml:space="preserve">Disadvantaged by the geographical position as well as by the lack of infrastructure, Caraş-Severin </w:t>
      </w:r>
      <w:r w:rsidR="006824BC">
        <w:rPr>
          <w:sz w:val="24"/>
          <w:szCs w:val="24"/>
          <w:lang w:val="ro-RO"/>
        </w:rPr>
        <w:t>County</w:t>
      </w:r>
      <w:r w:rsidR="00B23EB7" w:rsidRPr="00B23EB7">
        <w:rPr>
          <w:sz w:val="24"/>
          <w:szCs w:val="24"/>
          <w:lang w:val="ro-RO"/>
        </w:rPr>
        <w:t xml:space="preserve"> has the chance to reduce the gap </w:t>
      </w:r>
      <w:r w:rsidR="0039608F">
        <w:rPr>
          <w:sz w:val="24"/>
          <w:szCs w:val="24"/>
          <w:lang w:val="ro-RO"/>
        </w:rPr>
        <w:t>registred against</w:t>
      </w:r>
      <w:r w:rsidR="00B23EB7" w:rsidRPr="00B23EB7">
        <w:rPr>
          <w:sz w:val="24"/>
          <w:szCs w:val="24"/>
          <w:lang w:val="ro-RO"/>
        </w:rPr>
        <w:t xml:space="preserve"> the counties in the region in the period 2022-2025, benefiting from major projects, both in infrastructure and in tourism.</w:t>
      </w:r>
    </w:p>
    <w:p w:rsidR="00095C91" w:rsidRPr="003126E1" w:rsidRDefault="00095C91" w:rsidP="00E8432C">
      <w:pPr>
        <w:spacing w:after="120"/>
        <w:jc w:val="both"/>
        <w:rPr>
          <w:sz w:val="24"/>
          <w:szCs w:val="24"/>
          <w:lang w:val="ro-RO"/>
        </w:rPr>
      </w:pPr>
      <w:r w:rsidRPr="00095C91">
        <w:rPr>
          <w:sz w:val="24"/>
          <w:szCs w:val="24"/>
          <w:lang w:val="ro-RO"/>
        </w:rPr>
        <w:t>In this context, we forecast a favorable evolution on the labor market</w:t>
      </w:r>
      <w:r w:rsidR="00C82578">
        <w:rPr>
          <w:sz w:val="24"/>
          <w:szCs w:val="24"/>
          <w:lang w:val="ro-RO"/>
        </w:rPr>
        <w:t xml:space="preserve"> for the West Region</w:t>
      </w:r>
      <w:r w:rsidRPr="00095C91">
        <w:rPr>
          <w:sz w:val="24"/>
          <w:szCs w:val="24"/>
          <w:lang w:val="ro-RO"/>
        </w:rPr>
        <w:t>, the civilian employed population registering positive dynamics.</w:t>
      </w:r>
      <w:r w:rsidRPr="00095C91">
        <w:t xml:space="preserve"> </w:t>
      </w:r>
      <w:r>
        <w:rPr>
          <w:sz w:val="24"/>
          <w:szCs w:val="24"/>
          <w:lang w:val="ro-RO"/>
        </w:rPr>
        <w:t xml:space="preserve">In the coming years is expected a </w:t>
      </w:r>
      <w:r w:rsidRPr="00095C91">
        <w:rPr>
          <w:sz w:val="24"/>
          <w:szCs w:val="24"/>
          <w:lang w:val="ro-RO"/>
        </w:rPr>
        <w:t>slight but steady increase in the average number of employees at regional level</w:t>
      </w:r>
      <w:r>
        <w:rPr>
          <w:sz w:val="24"/>
          <w:szCs w:val="24"/>
          <w:lang w:val="ro-RO"/>
        </w:rPr>
        <w:t>.</w:t>
      </w:r>
      <w:r w:rsidR="000C04BD" w:rsidRPr="000C04BD">
        <w:t xml:space="preserve"> </w:t>
      </w:r>
      <w:r w:rsidR="000C04BD" w:rsidRPr="000C04BD">
        <w:rPr>
          <w:sz w:val="24"/>
          <w:szCs w:val="24"/>
          <w:lang w:val="ro-RO"/>
        </w:rPr>
        <w:t>Thus, if in 2021 a number of 512.2 thousand people was registered, the average number of employees estimated for 2025 is 547.9 thousand people at the regional level.</w:t>
      </w:r>
    </w:p>
    <w:p w:rsidR="001713DB" w:rsidRPr="003126E1" w:rsidRDefault="001713DB" w:rsidP="00E8432C">
      <w:pPr>
        <w:spacing w:after="120"/>
        <w:jc w:val="both"/>
        <w:rPr>
          <w:sz w:val="24"/>
          <w:szCs w:val="24"/>
          <w:lang w:val="ro-RO"/>
        </w:rPr>
      </w:pPr>
      <w:r w:rsidRPr="001713DB">
        <w:rPr>
          <w:sz w:val="24"/>
          <w:szCs w:val="24"/>
          <w:lang w:val="ro-RO"/>
        </w:rPr>
        <w:lastRenderedPageBreak/>
        <w:t>The region has the second lowest unemployment rate (at the end of the year) after Bucharest-Ilfov, and it is estimated that it will decrease to 1.5 percent by 2025, from 2.0% in 2021.</w:t>
      </w:r>
    </w:p>
    <w:p w:rsidR="00684355" w:rsidRPr="003126E1" w:rsidRDefault="00684355" w:rsidP="00E8432C">
      <w:pPr>
        <w:tabs>
          <w:tab w:val="left" w:pos="0"/>
        </w:tabs>
        <w:spacing w:after="120"/>
        <w:jc w:val="both"/>
        <w:rPr>
          <w:sz w:val="24"/>
          <w:szCs w:val="24"/>
          <w:lang w:val="ro-RO"/>
        </w:rPr>
      </w:pPr>
      <w:r>
        <w:rPr>
          <w:sz w:val="24"/>
          <w:szCs w:val="24"/>
          <w:lang w:val="ro-RO"/>
        </w:rPr>
        <w:t>The e</w:t>
      </w:r>
      <w:r w:rsidRPr="00684355">
        <w:rPr>
          <w:sz w:val="24"/>
          <w:szCs w:val="24"/>
          <w:lang w:val="ro-RO"/>
        </w:rPr>
        <w:t>arnings will have positive dynamics in line with</w:t>
      </w:r>
      <w:r>
        <w:rPr>
          <w:sz w:val="24"/>
          <w:szCs w:val="24"/>
          <w:lang w:val="ro-RO"/>
        </w:rPr>
        <w:t xml:space="preserve"> the</w:t>
      </w:r>
      <w:r w:rsidRPr="00684355">
        <w:rPr>
          <w:sz w:val="24"/>
          <w:szCs w:val="24"/>
          <w:lang w:val="ro-RO"/>
        </w:rPr>
        <w:t xml:space="preserve"> developments in sectoral gross value added</w:t>
      </w:r>
      <w:r>
        <w:rPr>
          <w:sz w:val="24"/>
          <w:szCs w:val="24"/>
          <w:lang w:val="ro-RO"/>
        </w:rPr>
        <w:t>.</w:t>
      </w:r>
      <w:r w:rsidR="00A31D28" w:rsidRPr="00A31D28">
        <w:t xml:space="preserve"> </w:t>
      </w:r>
      <w:r w:rsidR="00A31D28" w:rsidRPr="00A31D28">
        <w:rPr>
          <w:sz w:val="24"/>
          <w:szCs w:val="24"/>
          <w:lang w:val="ro-RO"/>
        </w:rPr>
        <w:t>For the year 2025, the average monthly net salary, at the level of the region, is estimated at 4564 lei/employee, as in the case of unemployment, the West region being on the second place after Bucharest-Ilfov.</w:t>
      </w:r>
    </w:p>
    <w:p w:rsidR="00091391" w:rsidRPr="003126E1" w:rsidRDefault="00091391" w:rsidP="00E8432C">
      <w:pPr>
        <w:tabs>
          <w:tab w:val="left" w:pos="0"/>
        </w:tabs>
        <w:spacing w:after="120"/>
        <w:jc w:val="both"/>
        <w:rPr>
          <w:sz w:val="24"/>
          <w:szCs w:val="24"/>
          <w:lang w:val="ro-RO"/>
        </w:rPr>
      </w:pPr>
      <w:r w:rsidRPr="00091391">
        <w:rPr>
          <w:sz w:val="24"/>
          <w:szCs w:val="24"/>
          <w:lang w:val="ro-RO"/>
        </w:rPr>
        <w:t xml:space="preserve">The real GDP growth projected in the </w:t>
      </w:r>
      <w:r w:rsidRPr="00C9365F">
        <w:rPr>
          <w:b/>
          <w:sz w:val="24"/>
          <w:szCs w:val="24"/>
          <w:lang w:val="ro-RO"/>
        </w:rPr>
        <w:t>Center region</w:t>
      </w:r>
      <w:r w:rsidRPr="00091391">
        <w:rPr>
          <w:sz w:val="24"/>
          <w:szCs w:val="24"/>
          <w:lang w:val="ro-RO"/>
        </w:rPr>
        <w:t xml:space="preserve"> is about 5% on average in the period 2022-2025.</w:t>
      </w:r>
      <w:r w:rsidR="003F4EDD" w:rsidRPr="003F4EDD">
        <w:t xml:space="preserve"> </w:t>
      </w:r>
      <w:r w:rsidR="003F4EDD" w:rsidRPr="003F4EDD">
        <w:rPr>
          <w:sz w:val="24"/>
          <w:szCs w:val="24"/>
          <w:lang w:val="ro-RO"/>
        </w:rPr>
        <w:t>This trend is mainly supported by the construction sector (7.1%) and industry (5.0%), while the services sector will</w:t>
      </w:r>
      <w:r w:rsidR="003F4EDD">
        <w:rPr>
          <w:sz w:val="24"/>
          <w:szCs w:val="24"/>
          <w:lang w:val="ro-RO"/>
        </w:rPr>
        <w:t xml:space="preserve"> record</w:t>
      </w:r>
      <w:r w:rsidR="003F4EDD" w:rsidRPr="003F4EDD">
        <w:rPr>
          <w:sz w:val="24"/>
          <w:szCs w:val="24"/>
          <w:lang w:val="ro-RO"/>
        </w:rPr>
        <w:t xml:space="preserve"> an average annual growth of 4.3%.</w:t>
      </w:r>
    </w:p>
    <w:p w:rsidR="00BD7655" w:rsidRPr="003126E1" w:rsidRDefault="00BD7655" w:rsidP="00C34249">
      <w:pPr>
        <w:tabs>
          <w:tab w:val="left" w:pos="0"/>
        </w:tabs>
        <w:spacing w:after="120"/>
        <w:jc w:val="both"/>
        <w:rPr>
          <w:sz w:val="24"/>
          <w:szCs w:val="24"/>
          <w:lang w:val="ro-RO" w:eastAsia="ro-RO"/>
        </w:rPr>
      </w:pPr>
      <w:r>
        <w:rPr>
          <w:sz w:val="24"/>
          <w:szCs w:val="24"/>
          <w:lang w:val="ro-RO" w:eastAsia="ro-RO"/>
        </w:rPr>
        <w:t xml:space="preserve">The </w:t>
      </w:r>
      <w:r w:rsidR="006824BC">
        <w:rPr>
          <w:sz w:val="24"/>
          <w:szCs w:val="24"/>
          <w:lang w:val="ro-RO" w:eastAsia="ro-RO"/>
        </w:rPr>
        <w:t>i</w:t>
      </w:r>
      <w:r w:rsidRPr="00BD7655">
        <w:rPr>
          <w:sz w:val="24"/>
          <w:szCs w:val="24"/>
          <w:lang w:val="ro-RO" w:eastAsia="ro-RO"/>
        </w:rPr>
        <w:t>ndustrial branches</w:t>
      </w:r>
      <w:r>
        <w:rPr>
          <w:sz w:val="24"/>
          <w:szCs w:val="24"/>
          <w:lang w:val="ro-RO" w:eastAsia="ro-RO"/>
        </w:rPr>
        <w:t xml:space="preserve"> who are the most represented</w:t>
      </w:r>
      <w:r w:rsidRPr="00BD7655">
        <w:rPr>
          <w:sz w:val="24"/>
          <w:szCs w:val="24"/>
          <w:lang w:val="ro-RO" w:eastAsia="ro-RO"/>
        </w:rPr>
        <w:t xml:space="preserve">, mainly export-oriented and underlying the region's advancement, are: the manufacture of subassemblies, parts and accessories for motor vehicles, the manufacture of electrical and electronic equipment for motor vehicles and motor vehicles, the manufacture of veneer and </w:t>
      </w:r>
      <w:r w:rsidR="00363E68" w:rsidRPr="00BD7655">
        <w:rPr>
          <w:sz w:val="24"/>
          <w:szCs w:val="24"/>
          <w:lang w:val="ro-RO" w:eastAsia="ro-RO"/>
        </w:rPr>
        <w:t xml:space="preserve">wood </w:t>
      </w:r>
      <w:r w:rsidR="00363E68">
        <w:rPr>
          <w:sz w:val="24"/>
          <w:szCs w:val="24"/>
          <w:lang w:val="ro-RO" w:eastAsia="ro-RO"/>
        </w:rPr>
        <w:t>panels</w:t>
      </w:r>
      <w:r w:rsidRPr="00BD7655">
        <w:rPr>
          <w:sz w:val="24"/>
          <w:szCs w:val="24"/>
          <w:lang w:val="ro-RO" w:eastAsia="ro-RO"/>
        </w:rPr>
        <w:t>, manufacture of fertilizers and nitrogenous products.</w:t>
      </w:r>
    </w:p>
    <w:p w:rsidR="00695FAC" w:rsidRPr="003126E1" w:rsidRDefault="00695FAC" w:rsidP="00C34249">
      <w:pPr>
        <w:tabs>
          <w:tab w:val="left" w:pos="0"/>
        </w:tabs>
        <w:spacing w:after="120"/>
        <w:jc w:val="both"/>
        <w:rPr>
          <w:sz w:val="24"/>
          <w:szCs w:val="24"/>
          <w:lang w:val="ro-RO" w:eastAsia="ro-RO"/>
        </w:rPr>
      </w:pPr>
      <w:r w:rsidRPr="008C35A0">
        <w:rPr>
          <w:b/>
          <w:sz w:val="24"/>
          <w:szCs w:val="24"/>
          <w:lang w:val="ro-RO" w:eastAsia="ro-RO"/>
        </w:rPr>
        <w:t>Brașov and Sibiu</w:t>
      </w:r>
      <w:r w:rsidRPr="00695FAC">
        <w:rPr>
          <w:sz w:val="24"/>
          <w:szCs w:val="24"/>
          <w:lang w:val="ro-RO" w:eastAsia="ro-RO"/>
        </w:rPr>
        <w:t xml:space="preserve"> counties are the main pillars of the economy of the Central Region, with projected GDP growth of 5.3% and 4.7% respectively at the end of the forecast period.</w:t>
      </w:r>
    </w:p>
    <w:p w:rsidR="00695FAC" w:rsidRPr="003126E1" w:rsidRDefault="003B7CAF" w:rsidP="00C34249">
      <w:pPr>
        <w:tabs>
          <w:tab w:val="left" w:pos="0"/>
        </w:tabs>
        <w:spacing w:after="120"/>
        <w:jc w:val="both"/>
        <w:rPr>
          <w:sz w:val="24"/>
          <w:szCs w:val="24"/>
          <w:lang w:val="ro-RO" w:eastAsia="ro-RO"/>
        </w:rPr>
      </w:pPr>
      <w:r w:rsidRPr="003B7CAF">
        <w:rPr>
          <w:sz w:val="24"/>
          <w:szCs w:val="24"/>
          <w:lang w:val="ro-RO" w:eastAsia="ro-RO"/>
        </w:rPr>
        <w:t xml:space="preserve">The economy of Brașov </w:t>
      </w:r>
      <w:r w:rsidR="006824BC">
        <w:rPr>
          <w:sz w:val="24"/>
          <w:szCs w:val="24"/>
          <w:lang w:val="ro-RO" w:eastAsia="ro-RO"/>
        </w:rPr>
        <w:t>County</w:t>
      </w:r>
      <w:r w:rsidRPr="003B7CAF">
        <w:rPr>
          <w:sz w:val="24"/>
          <w:szCs w:val="24"/>
          <w:lang w:val="ro-RO" w:eastAsia="ro-RO"/>
        </w:rPr>
        <w:t xml:space="preserve"> is supported mainly by the service and industrial sectors through trade, transport, tourism, IT services or other services for enterprises, the automotive components industry, construction materials, household appliances, IT&amp;C equipment.</w:t>
      </w:r>
    </w:p>
    <w:p w:rsidR="002004C1" w:rsidRPr="003126E1" w:rsidRDefault="002004C1" w:rsidP="00C34249">
      <w:pPr>
        <w:tabs>
          <w:tab w:val="left" w:pos="0"/>
        </w:tabs>
        <w:spacing w:after="120"/>
        <w:jc w:val="both"/>
        <w:rPr>
          <w:sz w:val="24"/>
          <w:szCs w:val="24"/>
          <w:lang w:val="ro-RO" w:eastAsia="ro-RO"/>
        </w:rPr>
      </w:pPr>
      <w:r w:rsidRPr="002004C1">
        <w:rPr>
          <w:sz w:val="24"/>
          <w:szCs w:val="24"/>
          <w:lang w:val="ro-RO" w:eastAsia="ro-RO"/>
        </w:rPr>
        <w:t xml:space="preserve">In the economy of </w:t>
      </w:r>
      <w:r w:rsidRPr="00761117">
        <w:rPr>
          <w:b/>
          <w:sz w:val="24"/>
          <w:szCs w:val="24"/>
          <w:lang w:val="ro-RO" w:eastAsia="ro-RO"/>
        </w:rPr>
        <w:t>Sibiu</w:t>
      </w:r>
      <w:r w:rsidRPr="002004C1">
        <w:rPr>
          <w:sz w:val="24"/>
          <w:szCs w:val="24"/>
          <w:lang w:val="ro-RO" w:eastAsia="ro-RO"/>
        </w:rPr>
        <w:t xml:space="preserve"> </w:t>
      </w:r>
      <w:r w:rsidR="006824BC">
        <w:rPr>
          <w:sz w:val="24"/>
          <w:szCs w:val="24"/>
          <w:lang w:val="ro-RO" w:eastAsia="ro-RO"/>
        </w:rPr>
        <w:t>County</w:t>
      </w:r>
      <w:r w:rsidRPr="002004C1">
        <w:rPr>
          <w:sz w:val="24"/>
          <w:szCs w:val="24"/>
          <w:lang w:val="ro-RO" w:eastAsia="ro-RO"/>
        </w:rPr>
        <w:t xml:space="preserve">, the </w:t>
      </w:r>
      <w:r>
        <w:rPr>
          <w:sz w:val="24"/>
          <w:szCs w:val="24"/>
          <w:lang w:val="ro-RO" w:eastAsia="ro-RO"/>
        </w:rPr>
        <w:t xml:space="preserve">most </w:t>
      </w:r>
      <w:r w:rsidR="00797830">
        <w:rPr>
          <w:sz w:val="24"/>
          <w:szCs w:val="24"/>
          <w:lang w:val="ro-RO" w:eastAsia="ro-RO"/>
        </w:rPr>
        <w:t>well-</w:t>
      </w:r>
      <w:r w:rsidRPr="002004C1">
        <w:rPr>
          <w:sz w:val="24"/>
          <w:szCs w:val="24"/>
          <w:lang w:val="ro-RO" w:eastAsia="ro-RO"/>
        </w:rPr>
        <w:t>represented branches are also services and industry, through trade, transport and storage, hotels and restaurants, real estate transactions, information and communications, automotive components, electrical equipment, optical instruments and devices, textiles products.</w:t>
      </w:r>
    </w:p>
    <w:p w:rsidR="00CA42BD" w:rsidRPr="003126E1" w:rsidRDefault="00CA42BD" w:rsidP="00C34249">
      <w:pPr>
        <w:tabs>
          <w:tab w:val="left" w:pos="0"/>
        </w:tabs>
        <w:spacing w:after="120"/>
        <w:jc w:val="both"/>
        <w:rPr>
          <w:sz w:val="24"/>
          <w:szCs w:val="24"/>
          <w:lang w:val="ro-RO" w:eastAsia="ro-RO"/>
        </w:rPr>
      </w:pPr>
      <w:r w:rsidRPr="00CA42BD">
        <w:rPr>
          <w:sz w:val="24"/>
          <w:szCs w:val="24"/>
          <w:lang w:val="ro-RO" w:eastAsia="ro-RO"/>
        </w:rPr>
        <w:t>The Central Region is already facing a significant deficit</w:t>
      </w:r>
      <w:r>
        <w:rPr>
          <w:sz w:val="24"/>
          <w:szCs w:val="24"/>
          <w:lang w:val="ro-RO" w:eastAsia="ro-RO"/>
        </w:rPr>
        <w:t xml:space="preserve"> </w:t>
      </w:r>
      <w:r w:rsidRPr="00CA42BD">
        <w:rPr>
          <w:sz w:val="24"/>
          <w:szCs w:val="24"/>
          <w:lang w:val="ro-RO" w:eastAsia="ro-RO"/>
        </w:rPr>
        <w:t>of labor</w:t>
      </w:r>
      <w:r>
        <w:rPr>
          <w:sz w:val="24"/>
          <w:szCs w:val="24"/>
          <w:lang w:val="ro-RO" w:eastAsia="ro-RO"/>
        </w:rPr>
        <w:t xml:space="preserve"> force</w:t>
      </w:r>
      <w:r w:rsidRPr="00CA42BD">
        <w:rPr>
          <w:sz w:val="24"/>
          <w:szCs w:val="24"/>
          <w:lang w:val="ro-RO" w:eastAsia="ro-RO"/>
        </w:rPr>
        <w:t>, and the announced price increases for energy and raw materials could affect for the most part</w:t>
      </w:r>
      <w:r>
        <w:rPr>
          <w:sz w:val="24"/>
          <w:szCs w:val="24"/>
          <w:lang w:val="ro-RO" w:eastAsia="ro-RO"/>
        </w:rPr>
        <w:t xml:space="preserve"> </w:t>
      </w:r>
      <w:r w:rsidRPr="00CA42BD">
        <w:rPr>
          <w:sz w:val="24"/>
          <w:szCs w:val="24"/>
          <w:lang w:val="ro-RO" w:eastAsia="ro-RO"/>
        </w:rPr>
        <w:t>the economic sectors.</w:t>
      </w:r>
    </w:p>
    <w:p w:rsidR="00C036B5" w:rsidRPr="003126E1" w:rsidRDefault="00C036B5" w:rsidP="00E8432C">
      <w:pPr>
        <w:spacing w:after="120"/>
        <w:jc w:val="both"/>
        <w:rPr>
          <w:sz w:val="24"/>
          <w:szCs w:val="24"/>
          <w:lang w:val="ro-RO"/>
        </w:rPr>
      </w:pPr>
      <w:r w:rsidRPr="00C036B5">
        <w:rPr>
          <w:sz w:val="24"/>
          <w:szCs w:val="24"/>
          <w:lang w:val="ro-RO"/>
        </w:rPr>
        <w:t>The average civilian employed population</w:t>
      </w:r>
      <w:r w:rsidR="00C82578">
        <w:rPr>
          <w:sz w:val="24"/>
          <w:szCs w:val="24"/>
          <w:lang w:val="ro-RO"/>
        </w:rPr>
        <w:t xml:space="preserve"> in the Center Region</w:t>
      </w:r>
      <w:r w:rsidRPr="00C036B5">
        <w:rPr>
          <w:sz w:val="24"/>
          <w:szCs w:val="24"/>
          <w:lang w:val="ro-RO"/>
        </w:rPr>
        <w:t xml:space="preserve"> was 1008.2 thousand people in 2021 and the forecast for</w:t>
      </w:r>
      <w:r>
        <w:rPr>
          <w:sz w:val="24"/>
          <w:szCs w:val="24"/>
          <w:lang w:val="ro-RO"/>
        </w:rPr>
        <w:t xml:space="preserve"> this one in </w:t>
      </w:r>
      <w:r w:rsidRPr="00C036B5">
        <w:rPr>
          <w:sz w:val="24"/>
          <w:szCs w:val="24"/>
          <w:lang w:val="ro-RO"/>
        </w:rPr>
        <w:t>2025 is 1036.7 thousand people (+28.5 thousand people)</w:t>
      </w:r>
      <w:r w:rsidR="009D3C1F">
        <w:rPr>
          <w:sz w:val="24"/>
          <w:szCs w:val="24"/>
          <w:lang w:val="ro-RO"/>
        </w:rPr>
        <w:t>.</w:t>
      </w:r>
      <w:r w:rsidR="009D3C1F" w:rsidRPr="009D3C1F">
        <w:t xml:space="preserve"> </w:t>
      </w:r>
      <w:r w:rsidR="009D3C1F" w:rsidRPr="009D3C1F">
        <w:rPr>
          <w:sz w:val="24"/>
          <w:szCs w:val="24"/>
          <w:lang w:val="ro-RO"/>
        </w:rPr>
        <w:t>The average number of employees will experience a significantly faster evolution compared to the total employment, in the Center region the employment in salary regime increasing in absolute terms by 65.6 thousand people.</w:t>
      </w:r>
      <w:r w:rsidR="007F02C9" w:rsidRPr="007F02C9">
        <w:t xml:space="preserve"> </w:t>
      </w:r>
      <w:r w:rsidR="007F02C9" w:rsidRPr="007F02C9">
        <w:rPr>
          <w:sz w:val="24"/>
          <w:szCs w:val="24"/>
          <w:lang w:val="ro-RO"/>
        </w:rPr>
        <w:t>Thus, if in 2021 there were an average of 646.4 thousand employees, it is expected that by 2025 the number will reach 712 thousand people.</w:t>
      </w:r>
    </w:p>
    <w:p w:rsidR="007E3714" w:rsidRPr="003126E1" w:rsidRDefault="007E3714" w:rsidP="00E8432C">
      <w:pPr>
        <w:spacing w:after="120"/>
        <w:jc w:val="both"/>
        <w:rPr>
          <w:sz w:val="24"/>
          <w:szCs w:val="24"/>
          <w:lang w:val="ro-RO"/>
        </w:rPr>
      </w:pPr>
      <w:r w:rsidRPr="007E3714">
        <w:rPr>
          <w:sz w:val="24"/>
          <w:szCs w:val="24"/>
          <w:lang w:val="ro-RO"/>
        </w:rPr>
        <w:t>During the period considered</w:t>
      </w:r>
      <w:r w:rsidRPr="007E3714">
        <w:t xml:space="preserve"> </w:t>
      </w:r>
      <w:r w:rsidRPr="007E3714">
        <w:rPr>
          <w:sz w:val="24"/>
          <w:szCs w:val="24"/>
          <w:lang w:val="ro-RO"/>
        </w:rPr>
        <w:t>the unemployment rate will improve</w:t>
      </w:r>
      <w:r>
        <w:rPr>
          <w:sz w:val="24"/>
          <w:szCs w:val="24"/>
          <w:lang w:val="ro-RO"/>
        </w:rPr>
        <w:t>.</w:t>
      </w:r>
      <w:r w:rsidR="00870134" w:rsidRPr="00870134">
        <w:t xml:space="preserve"> </w:t>
      </w:r>
      <w:r w:rsidR="00870134" w:rsidRPr="00870134">
        <w:rPr>
          <w:sz w:val="24"/>
          <w:szCs w:val="24"/>
          <w:lang w:val="ro-RO"/>
        </w:rPr>
        <w:t xml:space="preserve">If in 2021 the unemployment rate was 2.9%, it is estimated that in 2025 the unemployment rate will be 2.4%, </w:t>
      </w:r>
      <w:r w:rsidR="00E17CD2" w:rsidRPr="00E17CD2">
        <w:rPr>
          <w:sz w:val="24"/>
          <w:szCs w:val="24"/>
          <w:lang w:val="ro-RO"/>
        </w:rPr>
        <w:t xml:space="preserve">among the smallest </w:t>
      </w:r>
      <w:r w:rsidR="00C82578">
        <w:rPr>
          <w:sz w:val="24"/>
          <w:szCs w:val="24"/>
          <w:lang w:val="ro-RO"/>
        </w:rPr>
        <w:t>accross</w:t>
      </w:r>
      <w:r w:rsidR="00E17CD2" w:rsidRPr="00E17CD2">
        <w:rPr>
          <w:sz w:val="24"/>
          <w:szCs w:val="24"/>
          <w:lang w:val="ro-RO"/>
        </w:rPr>
        <w:t xml:space="preserve"> the regions.</w:t>
      </w:r>
      <w:r w:rsidR="00887530" w:rsidRPr="00887530">
        <w:rPr>
          <w:sz w:val="24"/>
          <w:szCs w:val="24"/>
          <w:lang w:val="ro-RO"/>
        </w:rPr>
        <w:t xml:space="preserve"> </w:t>
      </w:r>
      <w:r w:rsidR="00887530">
        <w:rPr>
          <w:sz w:val="24"/>
          <w:szCs w:val="24"/>
          <w:lang w:val="ro-RO"/>
        </w:rPr>
        <w:t xml:space="preserve">The </w:t>
      </w:r>
      <w:r w:rsidR="00761117">
        <w:rPr>
          <w:sz w:val="24"/>
          <w:szCs w:val="24"/>
          <w:lang w:val="ro-RO"/>
        </w:rPr>
        <w:t xml:space="preserve">gross </w:t>
      </w:r>
      <w:r w:rsidR="00887530">
        <w:rPr>
          <w:sz w:val="24"/>
          <w:szCs w:val="24"/>
          <w:lang w:val="ro-RO"/>
        </w:rPr>
        <w:t>a</w:t>
      </w:r>
      <w:r w:rsidR="00887530" w:rsidRPr="00E12C41">
        <w:rPr>
          <w:sz w:val="24"/>
          <w:szCs w:val="24"/>
          <w:lang w:val="ro-RO"/>
        </w:rPr>
        <w:t xml:space="preserve">verage </w:t>
      </w:r>
      <w:r w:rsidR="00761117">
        <w:rPr>
          <w:sz w:val="24"/>
          <w:szCs w:val="24"/>
          <w:lang w:val="ro-RO"/>
        </w:rPr>
        <w:t>wage</w:t>
      </w:r>
      <w:r w:rsidR="00A34DC2">
        <w:rPr>
          <w:sz w:val="24"/>
          <w:szCs w:val="24"/>
          <w:lang w:val="ro-RO"/>
        </w:rPr>
        <w:t xml:space="preserve"> earning</w:t>
      </w:r>
      <w:r w:rsidR="00887530" w:rsidRPr="00E12C41">
        <w:rPr>
          <w:sz w:val="24"/>
          <w:szCs w:val="24"/>
          <w:lang w:val="ro-RO"/>
        </w:rPr>
        <w:t xml:space="preserve"> ha</w:t>
      </w:r>
      <w:r w:rsidR="00761117">
        <w:rPr>
          <w:sz w:val="24"/>
          <w:szCs w:val="24"/>
          <w:lang w:val="ro-RO"/>
        </w:rPr>
        <w:t>d</w:t>
      </w:r>
      <w:r w:rsidR="00887530" w:rsidRPr="00E12C41">
        <w:rPr>
          <w:sz w:val="24"/>
          <w:szCs w:val="24"/>
          <w:lang w:val="ro-RO"/>
        </w:rPr>
        <w:t xml:space="preserve"> steadily increased</w:t>
      </w:r>
      <w:r w:rsidR="00887530">
        <w:rPr>
          <w:sz w:val="24"/>
          <w:szCs w:val="24"/>
          <w:lang w:val="ro-RO"/>
        </w:rPr>
        <w:t>.</w:t>
      </w:r>
      <w:r w:rsidR="00887530" w:rsidRPr="00887530">
        <w:t xml:space="preserve"> </w:t>
      </w:r>
      <w:r w:rsidR="00887530" w:rsidRPr="00887530">
        <w:rPr>
          <w:sz w:val="24"/>
          <w:szCs w:val="24"/>
          <w:lang w:val="ro-RO"/>
        </w:rPr>
        <w:lastRenderedPageBreak/>
        <w:t xml:space="preserve">If we refer to the average net earnings, it was 3175 lei in 2021, and </w:t>
      </w:r>
      <w:r w:rsidR="00887530">
        <w:rPr>
          <w:sz w:val="24"/>
          <w:szCs w:val="24"/>
          <w:lang w:val="ro-RO"/>
        </w:rPr>
        <w:t xml:space="preserve">in </w:t>
      </w:r>
      <w:r w:rsidR="00887530" w:rsidRPr="00887530">
        <w:rPr>
          <w:sz w:val="24"/>
          <w:szCs w:val="24"/>
          <w:lang w:val="ro-RO"/>
        </w:rPr>
        <w:t xml:space="preserve">the forecast for 2025 </w:t>
      </w:r>
      <w:r w:rsidR="00887530">
        <w:rPr>
          <w:sz w:val="24"/>
          <w:szCs w:val="24"/>
          <w:lang w:val="ro-RO"/>
        </w:rPr>
        <w:t>will be</w:t>
      </w:r>
      <w:r w:rsidR="00887530" w:rsidRPr="00887530">
        <w:rPr>
          <w:sz w:val="24"/>
          <w:szCs w:val="24"/>
          <w:lang w:val="ro-RO"/>
        </w:rPr>
        <w:t xml:space="preserve"> 4405 lei.</w:t>
      </w:r>
    </w:p>
    <w:p w:rsidR="001362C8" w:rsidRDefault="001362C8" w:rsidP="00E8432C">
      <w:pPr>
        <w:spacing w:after="120"/>
        <w:jc w:val="both"/>
        <w:rPr>
          <w:sz w:val="24"/>
          <w:szCs w:val="24"/>
          <w:lang w:val="ro-RO"/>
        </w:rPr>
      </w:pPr>
      <w:r>
        <w:rPr>
          <w:sz w:val="24"/>
          <w:szCs w:val="24"/>
          <w:lang w:val="ro-RO"/>
        </w:rPr>
        <w:t xml:space="preserve">For </w:t>
      </w:r>
      <w:r w:rsidRPr="009D4A66">
        <w:rPr>
          <w:b/>
          <w:sz w:val="24"/>
          <w:szCs w:val="24"/>
          <w:lang w:val="ro-RO"/>
        </w:rPr>
        <w:t xml:space="preserve">the </w:t>
      </w:r>
      <w:r w:rsidRPr="005829F4">
        <w:rPr>
          <w:b/>
          <w:sz w:val="24"/>
          <w:szCs w:val="24"/>
          <w:lang w:val="ro-RO"/>
        </w:rPr>
        <w:t>North-West region</w:t>
      </w:r>
      <w:r w:rsidRPr="001362C8">
        <w:rPr>
          <w:sz w:val="24"/>
          <w:szCs w:val="24"/>
          <w:lang w:val="ro-RO"/>
        </w:rPr>
        <w:t xml:space="preserve"> is estimated</w:t>
      </w:r>
      <w:r>
        <w:rPr>
          <w:sz w:val="24"/>
          <w:szCs w:val="24"/>
          <w:lang w:val="ro-RO"/>
        </w:rPr>
        <w:t>,</w:t>
      </w:r>
      <w:r w:rsidRPr="001362C8">
        <w:rPr>
          <w:sz w:val="24"/>
          <w:szCs w:val="24"/>
          <w:lang w:val="ro-RO"/>
        </w:rPr>
        <w:t xml:space="preserve"> over the entire forecast horizon</w:t>
      </w:r>
      <w:r>
        <w:rPr>
          <w:sz w:val="24"/>
          <w:szCs w:val="24"/>
          <w:lang w:val="ro-RO"/>
        </w:rPr>
        <w:t>,</w:t>
      </w:r>
      <w:r w:rsidR="00C82578">
        <w:rPr>
          <w:sz w:val="24"/>
          <w:szCs w:val="24"/>
          <w:lang w:val="ro-RO"/>
        </w:rPr>
        <w:t xml:space="preserve"> </w:t>
      </w:r>
      <w:r w:rsidRPr="001362C8">
        <w:rPr>
          <w:sz w:val="24"/>
          <w:szCs w:val="24"/>
          <w:lang w:val="ro-RO"/>
        </w:rPr>
        <w:t xml:space="preserve">an average </w:t>
      </w:r>
      <w:r w:rsidRPr="001A2682">
        <w:rPr>
          <w:sz w:val="24"/>
          <w:szCs w:val="24"/>
          <w:lang w:val="ro-RO"/>
        </w:rPr>
        <w:t>annual</w:t>
      </w:r>
      <w:r w:rsidRPr="001362C8">
        <w:rPr>
          <w:sz w:val="24"/>
          <w:szCs w:val="24"/>
          <w:lang w:val="ro-RO"/>
        </w:rPr>
        <w:t xml:space="preserve"> </w:t>
      </w:r>
      <w:r>
        <w:rPr>
          <w:sz w:val="24"/>
          <w:szCs w:val="24"/>
          <w:lang w:val="ro-RO"/>
        </w:rPr>
        <w:t xml:space="preserve">real </w:t>
      </w:r>
      <w:r w:rsidRPr="001362C8">
        <w:rPr>
          <w:sz w:val="24"/>
          <w:szCs w:val="24"/>
          <w:lang w:val="ro-RO"/>
        </w:rPr>
        <w:t>GDP growth of 4.8%, supported mainly by industry and construction.</w:t>
      </w:r>
      <w:r w:rsidR="00910557" w:rsidRPr="00910557">
        <w:t xml:space="preserve"> </w:t>
      </w:r>
      <w:r w:rsidR="00910557" w:rsidRPr="00910557">
        <w:rPr>
          <w:sz w:val="24"/>
          <w:szCs w:val="24"/>
          <w:lang w:val="ro-RO"/>
        </w:rPr>
        <w:t>The dynamics of GVA in services is on an upward trend, reaching 4.5% by the end of 2025.</w:t>
      </w:r>
    </w:p>
    <w:p w:rsidR="000777A7" w:rsidRPr="003126E1" w:rsidRDefault="00D217D8" w:rsidP="00E8432C">
      <w:pPr>
        <w:spacing w:after="120"/>
        <w:jc w:val="both"/>
        <w:rPr>
          <w:sz w:val="24"/>
          <w:szCs w:val="24"/>
          <w:lang w:val="ro-RO"/>
        </w:rPr>
      </w:pPr>
      <w:r w:rsidRPr="00D217D8">
        <w:rPr>
          <w:sz w:val="24"/>
          <w:szCs w:val="24"/>
          <w:lang w:val="ro-RO"/>
        </w:rPr>
        <w:t>The emergence of new strains of COVID-19 and the low level of vaccination have maintained the restrictions during 2021, so that the recovery process of the regional economy will continue during 2022.</w:t>
      </w:r>
      <w:r w:rsidR="000777A7" w:rsidRPr="000777A7">
        <w:t xml:space="preserve"> </w:t>
      </w:r>
      <w:r w:rsidR="000777A7" w:rsidRPr="000777A7">
        <w:rPr>
          <w:sz w:val="24"/>
          <w:szCs w:val="24"/>
          <w:lang w:val="ro-RO"/>
        </w:rPr>
        <w:t xml:space="preserve">In the first part of 2022, rising commodity prices, rising transport costs and supply chain delays will the most affect </w:t>
      </w:r>
      <w:r w:rsidR="000777A7">
        <w:rPr>
          <w:sz w:val="24"/>
          <w:szCs w:val="24"/>
          <w:lang w:val="ro-RO"/>
        </w:rPr>
        <w:t xml:space="preserve">the </w:t>
      </w:r>
      <w:r w:rsidR="000777A7" w:rsidRPr="000777A7">
        <w:rPr>
          <w:sz w:val="24"/>
          <w:szCs w:val="24"/>
          <w:lang w:val="ro-RO"/>
        </w:rPr>
        <w:t>economic activity.</w:t>
      </w:r>
      <w:r w:rsidR="00326E42" w:rsidRPr="00326E42">
        <w:t xml:space="preserve"> </w:t>
      </w:r>
      <w:r w:rsidR="00326E42" w:rsidRPr="00326E42">
        <w:rPr>
          <w:sz w:val="24"/>
          <w:szCs w:val="24"/>
          <w:lang w:val="ro-RO"/>
        </w:rPr>
        <w:t>The most affected sectors will be the manufacture of road transport vehicles, trailers and semi-trailers, the manufacture of other means of transport, the manufacture of electrical equipment, the metal construction industry and metal products, excluding machinery, machinery and installations, as well as the met</w:t>
      </w:r>
      <w:r w:rsidR="00326E42">
        <w:rPr>
          <w:sz w:val="24"/>
          <w:szCs w:val="24"/>
          <w:lang w:val="ro-RO"/>
        </w:rPr>
        <w:t xml:space="preserve">allurgical industry, which are </w:t>
      </w:r>
      <w:r w:rsidR="00326E42" w:rsidRPr="00326E42">
        <w:rPr>
          <w:sz w:val="24"/>
          <w:szCs w:val="24"/>
          <w:lang w:val="ro-RO"/>
        </w:rPr>
        <w:t>mainly present in Bistrița Năsăud and Sălaj counties.</w:t>
      </w:r>
    </w:p>
    <w:p w:rsidR="00DD408B" w:rsidRPr="003126E1" w:rsidRDefault="00DD408B" w:rsidP="00E8432C">
      <w:pPr>
        <w:spacing w:after="120"/>
        <w:jc w:val="both"/>
        <w:rPr>
          <w:sz w:val="24"/>
          <w:szCs w:val="24"/>
          <w:lang w:val="ro-RO"/>
        </w:rPr>
      </w:pPr>
      <w:r w:rsidRPr="00DD408B">
        <w:rPr>
          <w:sz w:val="24"/>
          <w:szCs w:val="24"/>
          <w:lang w:val="ro-RO"/>
        </w:rPr>
        <w:t>Furthermore, Cluj and Bihor counties will be the main drivers of the region, with an average annual GDP growth rate in the analyzed range of 5.4% and 4.4%, respectively.</w:t>
      </w:r>
    </w:p>
    <w:p w:rsidR="00095106" w:rsidRPr="005A3E48" w:rsidRDefault="00095106" w:rsidP="00091D0E">
      <w:pPr>
        <w:spacing w:after="120"/>
        <w:jc w:val="both"/>
        <w:rPr>
          <w:sz w:val="24"/>
          <w:szCs w:val="24"/>
          <w:lang w:val="ro-RO"/>
        </w:rPr>
      </w:pPr>
      <w:r w:rsidRPr="00095106">
        <w:rPr>
          <w:sz w:val="24"/>
          <w:szCs w:val="24"/>
          <w:lang w:val="ro-RO"/>
        </w:rPr>
        <w:t xml:space="preserve">The economy of </w:t>
      </w:r>
      <w:r w:rsidRPr="0031334B">
        <w:rPr>
          <w:b/>
          <w:sz w:val="24"/>
          <w:szCs w:val="24"/>
          <w:lang w:val="ro-RO"/>
        </w:rPr>
        <w:t>Cluj</w:t>
      </w:r>
      <w:r w:rsidRPr="00095106">
        <w:rPr>
          <w:sz w:val="24"/>
          <w:szCs w:val="24"/>
          <w:lang w:val="ro-RO"/>
        </w:rPr>
        <w:t xml:space="preserve"> </w:t>
      </w:r>
      <w:r w:rsidR="006824BC">
        <w:rPr>
          <w:sz w:val="24"/>
          <w:szCs w:val="24"/>
          <w:lang w:val="ro-RO"/>
        </w:rPr>
        <w:t>County</w:t>
      </w:r>
      <w:r w:rsidRPr="00095106">
        <w:rPr>
          <w:sz w:val="24"/>
          <w:szCs w:val="24"/>
          <w:lang w:val="ro-RO"/>
        </w:rPr>
        <w:t xml:space="preserve"> continues to be supported by the performances obtained in the construction sector, but also in the IT&amp;C sector, where Cluj occupies the second place in the country, after Bucharest, as a service provider in this field.</w:t>
      </w:r>
      <w:r w:rsidRPr="00095106">
        <w:t xml:space="preserve"> </w:t>
      </w:r>
      <w:r w:rsidRPr="00095106">
        <w:rPr>
          <w:sz w:val="24"/>
          <w:szCs w:val="24"/>
          <w:lang w:val="ro-RO"/>
        </w:rPr>
        <w:t xml:space="preserve">The trend of companies to outsource </w:t>
      </w:r>
      <w:r>
        <w:rPr>
          <w:sz w:val="24"/>
          <w:szCs w:val="24"/>
          <w:lang w:val="ro-RO"/>
        </w:rPr>
        <w:t xml:space="preserve">the </w:t>
      </w:r>
      <w:r w:rsidRPr="00095106">
        <w:rPr>
          <w:sz w:val="24"/>
          <w:szCs w:val="24"/>
          <w:lang w:val="ro-RO"/>
        </w:rPr>
        <w:t xml:space="preserve">services, accelerated </w:t>
      </w:r>
      <w:r>
        <w:rPr>
          <w:sz w:val="24"/>
          <w:szCs w:val="24"/>
          <w:lang w:val="ro-RO"/>
        </w:rPr>
        <w:t xml:space="preserve">the </w:t>
      </w:r>
      <w:r w:rsidRPr="00095106">
        <w:rPr>
          <w:sz w:val="24"/>
          <w:szCs w:val="24"/>
          <w:lang w:val="ro-RO"/>
        </w:rPr>
        <w:t xml:space="preserve">digitization and increase </w:t>
      </w:r>
      <w:r>
        <w:rPr>
          <w:sz w:val="24"/>
          <w:szCs w:val="24"/>
          <w:lang w:val="ro-RO"/>
        </w:rPr>
        <w:t xml:space="preserve">the </w:t>
      </w:r>
      <w:r w:rsidRPr="00095106">
        <w:rPr>
          <w:sz w:val="24"/>
          <w:szCs w:val="24"/>
          <w:lang w:val="ro-RO"/>
        </w:rPr>
        <w:t xml:space="preserve">investment in online platforms will continue the upward trend of the service sector, supported by the involvement of the private sector in the education system which will lead to the creation of new lines of specialization in IT&amp;C and </w:t>
      </w:r>
      <w:r>
        <w:rPr>
          <w:sz w:val="24"/>
          <w:szCs w:val="24"/>
          <w:lang w:val="ro-RO"/>
        </w:rPr>
        <w:t xml:space="preserve">to </w:t>
      </w:r>
      <w:r w:rsidRPr="00095106">
        <w:rPr>
          <w:sz w:val="24"/>
          <w:szCs w:val="24"/>
          <w:lang w:val="ro-RO"/>
        </w:rPr>
        <w:t>specialized workforce training.</w:t>
      </w:r>
    </w:p>
    <w:p w:rsidR="003C2683" w:rsidRPr="003126E1" w:rsidRDefault="003C2683" w:rsidP="00E8432C">
      <w:pPr>
        <w:spacing w:after="120"/>
        <w:jc w:val="both"/>
        <w:rPr>
          <w:sz w:val="24"/>
          <w:szCs w:val="24"/>
          <w:lang w:val="ro-RO"/>
        </w:rPr>
      </w:pPr>
      <w:r w:rsidRPr="003C2683">
        <w:rPr>
          <w:sz w:val="24"/>
          <w:szCs w:val="24"/>
          <w:lang w:val="ro-RO"/>
        </w:rPr>
        <w:t xml:space="preserve">The economy of </w:t>
      </w:r>
      <w:r w:rsidRPr="005A1F6B">
        <w:rPr>
          <w:b/>
          <w:sz w:val="24"/>
          <w:szCs w:val="24"/>
          <w:lang w:val="ro-RO"/>
        </w:rPr>
        <w:t>Bihor</w:t>
      </w:r>
      <w:r w:rsidRPr="003C2683">
        <w:rPr>
          <w:sz w:val="24"/>
          <w:szCs w:val="24"/>
          <w:lang w:val="ro-RO"/>
        </w:rPr>
        <w:t xml:space="preserve"> </w:t>
      </w:r>
      <w:r w:rsidR="006824BC">
        <w:rPr>
          <w:sz w:val="24"/>
          <w:szCs w:val="24"/>
          <w:lang w:val="ro-RO"/>
        </w:rPr>
        <w:t>County</w:t>
      </w:r>
      <w:r w:rsidRPr="003C2683">
        <w:rPr>
          <w:sz w:val="24"/>
          <w:szCs w:val="24"/>
          <w:lang w:val="ro-RO"/>
        </w:rPr>
        <w:t xml:space="preserve">, the second largest economic engine in the region, is currently based on the manufacturing industry, represented by the manufacture of components for electronic equipment, components for the automotive industry, the manufacture of footwear and leather products, and the manufacture of furniture. export, so that </w:t>
      </w:r>
      <w:r>
        <w:rPr>
          <w:sz w:val="24"/>
          <w:szCs w:val="24"/>
          <w:lang w:val="ro-RO"/>
        </w:rPr>
        <w:t xml:space="preserve">the </w:t>
      </w:r>
      <w:r w:rsidRPr="003C2683">
        <w:rPr>
          <w:sz w:val="24"/>
          <w:szCs w:val="24"/>
          <w:lang w:val="ro-RO"/>
        </w:rPr>
        <w:t>economic activity may be affected in the medium term by the closure of the borders of the main partners (Germany, the Netherlands, France) amid tightening health rules.</w:t>
      </w:r>
    </w:p>
    <w:p w:rsidR="009B129D" w:rsidRPr="003126E1" w:rsidRDefault="009B129D" w:rsidP="00E8432C">
      <w:pPr>
        <w:spacing w:after="120"/>
        <w:jc w:val="both"/>
        <w:rPr>
          <w:sz w:val="24"/>
          <w:szCs w:val="24"/>
          <w:lang w:val="ro-RO"/>
        </w:rPr>
      </w:pPr>
      <w:r>
        <w:rPr>
          <w:sz w:val="24"/>
          <w:szCs w:val="24"/>
          <w:lang w:val="ro-RO"/>
        </w:rPr>
        <w:t>The rising commodity prices and the</w:t>
      </w:r>
      <w:r w:rsidRPr="009B129D">
        <w:rPr>
          <w:sz w:val="24"/>
          <w:szCs w:val="24"/>
          <w:lang w:val="ro-RO"/>
        </w:rPr>
        <w:t xml:space="preserve"> lack of qualified staff will contribute to a slowdown in the construction sector in the North-West region, with an increase of up to 6% by the end of 2025.</w:t>
      </w:r>
    </w:p>
    <w:p w:rsidR="0066320D" w:rsidRPr="003126E1" w:rsidRDefault="0066320D" w:rsidP="00E8432C">
      <w:pPr>
        <w:spacing w:after="120"/>
        <w:jc w:val="both"/>
        <w:rPr>
          <w:sz w:val="24"/>
          <w:szCs w:val="24"/>
          <w:lang w:val="ro-RO"/>
        </w:rPr>
      </w:pPr>
      <w:r w:rsidRPr="0066320D">
        <w:rPr>
          <w:sz w:val="24"/>
          <w:szCs w:val="24"/>
          <w:lang w:val="ro-RO"/>
        </w:rPr>
        <w:t>After a year 2020 with many restrictions and uncertainty, in which the unemployment rate</w:t>
      </w:r>
      <w:r w:rsidR="00C82578">
        <w:rPr>
          <w:sz w:val="24"/>
          <w:szCs w:val="24"/>
          <w:lang w:val="ro-RO"/>
        </w:rPr>
        <w:t xml:space="preserve"> in the North-West region</w:t>
      </w:r>
      <w:r w:rsidRPr="0066320D">
        <w:rPr>
          <w:sz w:val="24"/>
          <w:szCs w:val="24"/>
          <w:lang w:val="ro-RO"/>
        </w:rPr>
        <w:t xml:space="preserve"> had a moderate increase, up to 2.6%, in 2021 </w:t>
      </w:r>
      <w:r>
        <w:rPr>
          <w:sz w:val="24"/>
          <w:szCs w:val="24"/>
          <w:lang w:val="ro-RO"/>
        </w:rPr>
        <w:t xml:space="preserve">it </w:t>
      </w:r>
      <w:r w:rsidRPr="0066320D">
        <w:rPr>
          <w:sz w:val="24"/>
          <w:szCs w:val="24"/>
          <w:lang w:val="ro-RO"/>
        </w:rPr>
        <w:t>registered a decreasing trend, reaching 2.3%.</w:t>
      </w:r>
      <w:r w:rsidR="00C91076" w:rsidRPr="00C91076">
        <w:t xml:space="preserve"> </w:t>
      </w:r>
      <w:r w:rsidR="00C91076" w:rsidRPr="00C91076">
        <w:rPr>
          <w:sz w:val="24"/>
          <w:szCs w:val="24"/>
          <w:lang w:val="ro-RO"/>
        </w:rPr>
        <w:t>In perspective</w:t>
      </w:r>
      <w:r w:rsidR="00C91076">
        <w:rPr>
          <w:sz w:val="24"/>
          <w:szCs w:val="24"/>
          <w:lang w:val="ro-RO"/>
        </w:rPr>
        <w:t>,</w:t>
      </w:r>
      <w:r w:rsidR="00C91076" w:rsidRPr="00C91076">
        <w:t xml:space="preserve"> </w:t>
      </w:r>
      <w:r w:rsidR="00C91076" w:rsidRPr="00C91076">
        <w:rPr>
          <w:sz w:val="24"/>
          <w:szCs w:val="24"/>
          <w:lang w:val="ro-RO"/>
        </w:rPr>
        <w:t>the reducing unemployment</w:t>
      </w:r>
      <w:r w:rsidR="00C91076">
        <w:rPr>
          <w:sz w:val="24"/>
          <w:szCs w:val="24"/>
          <w:lang w:val="ro-RO"/>
        </w:rPr>
        <w:t xml:space="preserve"> </w:t>
      </w:r>
      <w:r w:rsidR="00C91076" w:rsidRPr="00C91076">
        <w:rPr>
          <w:sz w:val="24"/>
          <w:szCs w:val="24"/>
          <w:lang w:val="ro-RO"/>
        </w:rPr>
        <w:t>will continue to 1.9% in 2025.</w:t>
      </w:r>
    </w:p>
    <w:p w:rsidR="00A56E67" w:rsidRDefault="00A56E67" w:rsidP="00E8432C">
      <w:pPr>
        <w:spacing w:after="120"/>
        <w:jc w:val="both"/>
        <w:rPr>
          <w:sz w:val="24"/>
          <w:szCs w:val="24"/>
          <w:lang w:val="ro-RO"/>
        </w:rPr>
      </w:pPr>
      <w:r>
        <w:rPr>
          <w:sz w:val="24"/>
          <w:szCs w:val="24"/>
          <w:lang w:val="ro-RO"/>
        </w:rPr>
        <w:lastRenderedPageBreak/>
        <w:t>I</w:t>
      </w:r>
      <w:r w:rsidRPr="00A56E67">
        <w:rPr>
          <w:sz w:val="24"/>
          <w:szCs w:val="24"/>
          <w:lang w:val="ro-RO"/>
        </w:rPr>
        <w:t>n 2025</w:t>
      </w:r>
      <w:r>
        <w:rPr>
          <w:sz w:val="24"/>
          <w:szCs w:val="24"/>
          <w:lang w:val="ro-RO"/>
        </w:rPr>
        <w:t xml:space="preserve"> t</w:t>
      </w:r>
      <w:r w:rsidRPr="00A56E67">
        <w:rPr>
          <w:sz w:val="24"/>
          <w:szCs w:val="24"/>
          <w:lang w:val="ro-RO"/>
        </w:rPr>
        <w:t>he average number of employees is forecast</w:t>
      </w:r>
      <w:r w:rsidR="003A5CF9">
        <w:rPr>
          <w:sz w:val="24"/>
          <w:szCs w:val="24"/>
          <w:lang w:val="ro-RO"/>
        </w:rPr>
        <w:t>ed</w:t>
      </w:r>
      <w:r w:rsidRPr="00A56E67">
        <w:rPr>
          <w:sz w:val="24"/>
          <w:szCs w:val="24"/>
          <w:lang w:val="ro-RO"/>
        </w:rPr>
        <w:t xml:space="preserve"> at 758 thousand people, compared to 692.1 thousand people in 2021 (+65.9 thousand people).</w:t>
      </w:r>
      <w:r w:rsidR="00A16959" w:rsidRPr="00A16959">
        <w:t xml:space="preserve"> </w:t>
      </w:r>
      <w:r w:rsidR="00A16959">
        <w:t xml:space="preserve">The </w:t>
      </w:r>
      <w:r w:rsidR="00A16959">
        <w:rPr>
          <w:sz w:val="24"/>
          <w:szCs w:val="24"/>
          <w:lang w:val="ro-RO"/>
        </w:rPr>
        <w:t>e</w:t>
      </w:r>
      <w:r w:rsidR="00A16959" w:rsidRPr="00A16959">
        <w:rPr>
          <w:sz w:val="24"/>
          <w:szCs w:val="24"/>
          <w:lang w:val="ro-RO"/>
        </w:rPr>
        <w:t>arnings will have positive dynamics following the trend of the evolution of the sectoral gross value added.</w:t>
      </w:r>
    </w:p>
    <w:p w:rsidR="00BA7AA9" w:rsidRDefault="00D9403D" w:rsidP="008A2BC1">
      <w:pPr>
        <w:spacing w:after="120"/>
        <w:jc w:val="both"/>
        <w:rPr>
          <w:sz w:val="24"/>
          <w:szCs w:val="24"/>
          <w:lang w:val="ro-RO"/>
        </w:rPr>
      </w:pPr>
      <w:r w:rsidRPr="00D9403D">
        <w:rPr>
          <w:sz w:val="24"/>
          <w:szCs w:val="24"/>
          <w:lang w:val="ro-RO"/>
        </w:rPr>
        <w:t>For</w:t>
      </w:r>
      <w:r w:rsidRPr="0083583B">
        <w:rPr>
          <w:sz w:val="24"/>
          <w:szCs w:val="24"/>
          <w:lang w:val="ro-RO"/>
        </w:rPr>
        <w:t xml:space="preserve"> </w:t>
      </w:r>
      <w:r w:rsidRPr="009D4A66">
        <w:rPr>
          <w:b/>
          <w:sz w:val="24"/>
          <w:szCs w:val="24"/>
          <w:lang w:val="ro-RO"/>
        </w:rPr>
        <w:t>the</w:t>
      </w:r>
      <w:r w:rsidRPr="00DB6366">
        <w:rPr>
          <w:b/>
          <w:sz w:val="24"/>
          <w:szCs w:val="24"/>
          <w:lang w:val="ro-RO"/>
        </w:rPr>
        <w:t xml:space="preserve"> Bucharest-Ilfov region</w:t>
      </w:r>
      <w:r w:rsidRPr="00D9403D">
        <w:rPr>
          <w:sz w:val="24"/>
          <w:szCs w:val="24"/>
          <w:lang w:val="ro-RO"/>
        </w:rPr>
        <w:t xml:space="preserve">, where is realized almost a third of the national GDP (27.4% according to </w:t>
      </w:r>
      <w:r w:rsidR="003C305D">
        <w:rPr>
          <w:sz w:val="24"/>
          <w:szCs w:val="24"/>
          <w:lang w:val="ro-RO"/>
        </w:rPr>
        <w:t xml:space="preserve">the </w:t>
      </w:r>
      <w:r w:rsidRPr="00D9403D">
        <w:rPr>
          <w:sz w:val="24"/>
          <w:szCs w:val="24"/>
          <w:lang w:val="ro-RO"/>
        </w:rPr>
        <w:t xml:space="preserve">estimates for 2021), it is expected an evolution slightly above the national average, </w:t>
      </w:r>
      <w:r w:rsidR="00BA7AA9" w:rsidRPr="00BA7AA9">
        <w:rPr>
          <w:sz w:val="24"/>
          <w:szCs w:val="24"/>
          <w:lang w:val="ro-RO"/>
        </w:rPr>
        <w:t>due</w:t>
      </w:r>
      <w:r w:rsidR="00C82578">
        <w:rPr>
          <w:sz w:val="24"/>
          <w:szCs w:val="24"/>
          <w:lang w:val="ro-RO"/>
        </w:rPr>
        <w:t>,</w:t>
      </w:r>
      <w:r w:rsidR="00BA7AA9" w:rsidRPr="00BA7AA9">
        <w:rPr>
          <w:sz w:val="24"/>
          <w:szCs w:val="24"/>
          <w:lang w:val="ro-RO"/>
        </w:rPr>
        <w:t xml:space="preserve"> in large part</w:t>
      </w:r>
      <w:r w:rsidR="00C82578">
        <w:rPr>
          <w:sz w:val="24"/>
          <w:szCs w:val="24"/>
          <w:lang w:val="ro-RO"/>
        </w:rPr>
        <w:t>,</w:t>
      </w:r>
      <w:r w:rsidR="00BA7AA9" w:rsidRPr="00BA7AA9">
        <w:rPr>
          <w:sz w:val="24"/>
          <w:szCs w:val="24"/>
          <w:lang w:val="ro-RO"/>
        </w:rPr>
        <w:t xml:space="preserve"> to the fact that the economic recovery after the pandemic was very fast.</w:t>
      </w:r>
      <w:r w:rsidR="00D15CCD" w:rsidRPr="00D15CCD">
        <w:t xml:space="preserve"> </w:t>
      </w:r>
      <w:r w:rsidR="00D15CCD" w:rsidRPr="00D15CCD">
        <w:rPr>
          <w:sz w:val="24"/>
          <w:szCs w:val="24"/>
          <w:lang w:val="ro-RO"/>
        </w:rPr>
        <w:t xml:space="preserve">The average annual economic growth is estimated at 5.6%, for the period 2022-2025, with a construction sector </w:t>
      </w:r>
      <w:r w:rsidR="003C305D">
        <w:rPr>
          <w:sz w:val="24"/>
          <w:szCs w:val="24"/>
          <w:lang w:val="ro-RO"/>
        </w:rPr>
        <w:t>witch has</w:t>
      </w:r>
      <w:r w:rsidR="00D15CCD" w:rsidRPr="00D15CCD">
        <w:rPr>
          <w:sz w:val="24"/>
          <w:szCs w:val="24"/>
          <w:lang w:val="ro-RO"/>
        </w:rPr>
        <w:t xml:space="preserve"> a rapidly increasing GVA of 12.0% (all components - engineering, especially transport infrastructure, residential and non-residential buildings</w:t>
      </w:r>
      <w:r w:rsidR="00C01211">
        <w:rPr>
          <w:sz w:val="24"/>
          <w:szCs w:val="24"/>
          <w:lang w:val="ro-RO"/>
        </w:rPr>
        <w:t xml:space="preserve"> having</w:t>
      </w:r>
      <w:r w:rsidR="00D15CCD" w:rsidRPr="00D15CCD">
        <w:rPr>
          <w:sz w:val="24"/>
          <w:szCs w:val="24"/>
          <w:lang w:val="ro-RO"/>
        </w:rPr>
        <w:t xml:space="preserve"> very good prospects) and services with a dynamics of 5.3%.</w:t>
      </w:r>
    </w:p>
    <w:p w:rsidR="00FF5BA4" w:rsidRDefault="00FF5BA4" w:rsidP="008A2BC1">
      <w:pPr>
        <w:spacing w:after="120"/>
        <w:jc w:val="both"/>
        <w:rPr>
          <w:sz w:val="24"/>
          <w:szCs w:val="24"/>
          <w:lang w:val="ro-RO"/>
        </w:rPr>
      </w:pPr>
      <w:r w:rsidRPr="00FF5BA4">
        <w:rPr>
          <w:sz w:val="24"/>
          <w:szCs w:val="24"/>
          <w:lang w:val="ro-RO"/>
        </w:rPr>
        <w:t>A significant increase in gross value added is also expected for the agriculture branch (+ 5.0%), but the share of this sector is insignificant in the total economic activity of the region.</w:t>
      </w:r>
      <w:r w:rsidRPr="00FF5BA4">
        <w:t xml:space="preserve"> </w:t>
      </w:r>
      <w:r w:rsidRPr="00FF5BA4">
        <w:rPr>
          <w:sz w:val="24"/>
          <w:szCs w:val="24"/>
          <w:lang w:val="ro-RO"/>
        </w:rPr>
        <w:t>The average annual growth rate of GVA in industry is 3.4%, below the other components of the region, but close to the national average of the sector</w:t>
      </w:r>
      <w:r>
        <w:rPr>
          <w:sz w:val="24"/>
          <w:szCs w:val="24"/>
          <w:lang w:val="ro-RO"/>
        </w:rPr>
        <w:t>.</w:t>
      </w:r>
      <w:r w:rsidR="00B61D59" w:rsidRPr="00B61D59">
        <w:t xml:space="preserve"> </w:t>
      </w:r>
      <w:r w:rsidR="00B61D59" w:rsidRPr="00B61D59">
        <w:rPr>
          <w:sz w:val="24"/>
          <w:szCs w:val="24"/>
          <w:lang w:val="ro-RO"/>
        </w:rPr>
        <w:t xml:space="preserve">The main causes are the lack of labor required by the industry in the area, as well </w:t>
      </w:r>
      <w:r w:rsidR="00B61D59">
        <w:rPr>
          <w:sz w:val="24"/>
          <w:szCs w:val="24"/>
          <w:lang w:val="ro-RO"/>
        </w:rPr>
        <w:t>the</w:t>
      </w:r>
      <w:r w:rsidR="00B61D59" w:rsidRPr="00B61D59">
        <w:rPr>
          <w:sz w:val="24"/>
          <w:szCs w:val="24"/>
          <w:lang w:val="ro-RO"/>
        </w:rPr>
        <w:t xml:space="preserve"> incipien</w:t>
      </w:r>
      <w:r w:rsidR="00B61D59">
        <w:rPr>
          <w:sz w:val="24"/>
          <w:szCs w:val="24"/>
          <w:lang w:val="ro-RO"/>
        </w:rPr>
        <w:t>t polycentric industrial model,</w:t>
      </w:r>
      <w:r w:rsidR="006824BC">
        <w:rPr>
          <w:sz w:val="24"/>
          <w:szCs w:val="24"/>
          <w:lang w:val="ro-RO"/>
        </w:rPr>
        <w:t xml:space="preserve"> </w:t>
      </w:r>
      <w:r w:rsidR="00B61D59" w:rsidRPr="00B61D59">
        <w:rPr>
          <w:sz w:val="24"/>
          <w:szCs w:val="24"/>
          <w:lang w:val="ro-RO"/>
        </w:rPr>
        <w:t>the companies starting to expand in other areas of the country.</w:t>
      </w:r>
    </w:p>
    <w:p w:rsidR="00B75DD9" w:rsidRDefault="00B75DD9" w:rsidP="008A2BC1">
      <w:pPr>
        <w:spacing w:after="120"/>
        <w:jc w:val="both"/>
        <w:rPr>
          <w:sz w:val="24"/>
          <w:szCs w:val="24"/>
          <w:lang w:val="ro-RO"/>
        </w:rPr>
      </w:pPr>
      <w:r w:rsidRPr="00B75DD9">
        <w:rPr>
          <w:sz w:val="24"/>
          <w:szCs w:val="24"/>
          <w:lang w:val="ro-RO"/>
        </w:rPr>
        <w:t>Regarding the labor market, the rapid recovery after the pandemic is reflected in growth rates of both the civilian employed population and the average number of employees,</w:t>
      </w:r>
      <w:r w:rsidR="000941A9">
        <w:rPr>
          <w:sz w:val="24"/>
          <w:szCs w:val="24"/>
          <w:lang w:val="ro-RO"/>
        </w:rPr>
        <w:t xml:space="preserve"> w</w:t>
      </w:r>
      <w:r w:rsidR="00C01211">
        <w:rPr>
          <w:sz w:val="24"/>
          <w:szCs w:val="24"/>
          <w:lang w:val="ro-RO"/>
        </w:rPr>
        <w:t>hi</w:t>
      </w:r>
      <w:r w:rsidR="000941A9">
        <w:rPr>
          <w:sz w:val="24"/>
          <w:szCs w:val="24"/>
          <w:lang w:val="ro-RO"/>
        </w:rPr>
        <w:t>ch</w:t>
      </w:r>
      <w:r w:rsidR="00C01211">
        <w:rPr>
          <w:sz w:val="24"/>
          <w:szCs w:val="24"/>
          <w:lang w:val="ro-RO"/>
        </w:rPr>
        <w:t>,</w:t>
      </w:r>
      <w:r w:rsidR="000941A9" w:rsidRPr="000941A9">
        <w:rPr>
          <w:sz w:val="24"/>
          <w:szCs w:val="24"/>
          <w:lang w:val="ro-RO"/>
        </w:rPr>
        <w:t xml:space="preserve"> </w:t>
      </w:r>
      <w:r w:rsidR="000941A9" w:rsidRPr="00B75DD9">
        <w:rPr>
          <w:sz w:val="24"/>
          <w:szCs w:val="24"/>
          <w:lang w:val="ro-RO"/>
        </w:rPr>
        <w:t>despite the problems on the labor market</w:t>
      </w:r>
      <w:r w:rsidR="00C01211">
        <w:rPr>
          <w:sz w:val="24"/>
          <w:szCs w:val="24"/>
          <w:lang w:val="ro-RO"/>
        </w:rPr>
        <w:t>,</w:t>
      </w:r>
      <w:r w:rsidR="000941A9">
        <w:rPr>
          <w:sz w:val="24"/>
          <w:szCs w:val="24"/>
          <w:lang w:val="ro-RO"/>
        </w:rPr>
        <w:t xml:space="preserve"> are </w:t>
      </w:r>
      <w:r w:rsidRPr="00B75DD9">
        <w:rPr>
          <w:sz w:val="24"/>
          <w:szCs w:val="24"/>
          <w:lang w:val="ro-RO"/>
        </w:rPr>
        <w:t>above the national average: the Buchar</w:t>
      </w:r>
      <w:r w:rsidR="00555F74">
        <w:rPr>
          <w:sz w:val="24"/>
          <w:szCs w:val="24"/>
          <w:lang w:val="ro-RO"/>
        </w:rPr>
        <w:t xml:space="preserve">est-Ilfov region registers the </w:t>
      </w:r>
      <w:r w:rsidRPr="00B75DD9">
        <w:rPr>
          <w:sz w:val="24"/>
          <w:szCs w:val="24"/>
          <w:lang w:val="ro-RO"/>
        </w:rPr>
        <w:t>low</w:t>
      </w:r>
      <w:r w:rsidR="00C01211">
        <w:rPr>
          <w:sz w:val="24"/>
          <w:szCs w:val="24"/>
          <w:lang w:val="ro-RO"/>
        </w:rPr>
        <w:t>est</w:t>
      </w:r>
      <w:r w:rsidRPr="00B75DD9">
        <w:rPr>
          <w:sz w:val="24"/>
          <w:szCs w:val="24"/>
          <w:lang w:val="ro-RO"/>
        </w:rPr>
        <w:t xml:space="preserve"> unemployment rates (Ilfov </w:t>
      </w:r>
      <w:r w:rsidR="006824BC">
        <w:rPr>
          <w:sz w:val="24"/>
          <w:szCs w:val="24"/>
          <w:lang w:val="ro-RO"/>
        </w:rPr>
        <w:t>County</w:t>
      </w:r>
      <w:r w:rsidRPr="00B75DD9">
        <w:rPr>
          <w:sz w:val="24"/>
          <w:szCs w:val="24"/>
          <w:lang w:val="ro-RO"/>
        </w:rPr>
        <w:t xml:space="preserve"> tending to zero unemployment)</w:t>
      </w:r>
      <w:r w:rsidR="003D3481">
        <w:rPr>
          <w:sz w:val="24"/>
          <w:szCs w:val="24"/>
          <w:lang w:val="ro-RO"/>
        </w:rPr>
        <w:t xml:space="preserve"> but also the highest levels of</w:t>
      </w:r>
      <w:r w:rsidR="002C50CD" w:rsidRPr="002C50CD">
        <w:rPr>
          <w:sz w:val="24"/>
          <w:szCs w:val="24"/>
          <w:lang w:val="ro-RO"/>
        </w:rPr>
        <w:t xml:space="preserve"> gross</w:t>
      </w:r>
      <w:r w:rsidR="003D3481" w:rsidRPr="003D3481">
        <w:rPr>
          <w:sz w:val="24"/>
          <w:szCs w:val="24"/>
          <w:lang w:val="ro-RO"/>
        </w:rPr>
        <w:t xml:space="preserve"> </w:t>
      </w:r>
      <w:r w:rsidR="003D3481" w:rsidRPr="002C50CD">
        <w:rPr>
          <w:sz w:val="24"/>
          <w:szCs w:val="24"/>
          <w:lang w:val="ro-RO"/>
        </w:rPr>
        <w:t>average</w:t>
      </w:r>
      <w:r w:rsidR="002C50CD" w:rsidRPr="002C50CD">
        <w:rPr>
          <w:sz w:val="24"/>
          <w:szCs w:val="24"/>
          <w:lang w:val="ro-RO"/>
        </w:rPr>
        <w:t xml:space="preserve"> </w:t>
      </w:r>
      <w:r w:rsidR="003D3481">
        <w:rPr>
          <w:sz w:val="24"/>
          <w:szCs w:val="24"/>
          <w:lang w:val="ro-RO"/>
        </w:rPr>
        <w:t>wage</w:t>
      </w:r>
      <w:r w:rsidR="00A34DC2">
        <w:rPr>
          <w:sz w:val="24"/>
          <w:szCs w:val="24"/>
          <w:lang w:val="ro-RO"/>
        </w:rPr>
        <w:t xml:space="preserve"> earning</w:t>
      </w:r>
      <w:r w:rsidRPr="00B75DD9">
        <w:rPr>
          <w:sz w:val="24"/>
          <w:szCs w:val="24"/>
          <w:lang w:val="ro-RO"/>
        </w:rPr>
        <w:t>.</w:t>
      </w:r>
    </w:p>
    <w:p w:rsidR="00F92046" w:rsidRDefault="00F92046" w:rsidP="00E8432C">
      <w:pPr>
        <w:spacing w:after="120"/>
        <w:jc w:val="both"/>
        <w:rPr>
          <w:sz w:val="24"/>
          <w:szCs w:val="24"/>
          <w:lang w:val="ro-RO"/>
        </w:rPr>
      </w:pPr>
    </w:p>
    <w:sectPr w:rsidR="00F92046" w:rsidSect="000302DC">
      <w:headerReference w:type="default" r:id="rId12"/>
      <w:footerReference w:type="defaul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D7" w:rsidRDefault="00E80CD7" w:rsidP="00165734">
      <w:pPr>
        <w:spacing w:after="0" w:line="240" w:lineRule="auto"/>
      </w:pPr>
      <w:r>
        <w:separator/>
      </w:r>
    </w:p>
  </w:endnote>
  <w:endnote w:type="continuationSeparator" w:id="1">
    <w:p w:rsidR="00E80CD7" w:rsidRDefault="00E80CD7" w:rsidP="00165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46" w:rsidRDefault="00B81192">
    <w:pPr>
      <w:pStyle w:val="Footer"/>
      <w:jc w:val="center"/>
    </w:pPr>
    <w:fldSimple w:instr=" PAGE   \* MERGEFORMAT ">
      <w:r w:rsidR="00A34DC2">
        <w:rPr>
          <w:noProof/>
        </w:rPr>
        <w:t>15</w:t>
      </w:r>
    </w:fldSimple>
  </w:p>
  <w:p w:rsidR="00F92046" w:rsidRDefault="00F92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D7" w:rsidRDefault="00E80CD7" w:rsidP="00165734">
      <w:pPr>
        <w:spacing w:after="0" w:line="240" w:lineRule="auto"/>
      </w:pPr>
      <w:r>
        <w:separator/>
      </w:r>
    </w:p>
  </w:footnote>
  <w:footnote w:type="continuationSeparator" w:id="1">
    <w:p w:rsidR="00E80CD7" w:rsidRDefault="00E80CD7" w:rsidP="001657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46" w:rsidRDefault="005A3E48">
    <w:pPr>
      <w:pStyle w:val="Header"/>
    </w:pPr>
    <w:r>
      <w:rPr>
        <w:noProof/>
      </w:rPr>
      <w:drawing>
        <wp:inline distT="0" distB="0" distL="0" distR="0">
          <wp:extent cx="4468495" cy="659765"/>
          <wp:effectExtent l="1905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68495" cy="6597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35F"/>
    <w:multiLevelType w:val="hybridMultilevel"/>
    <w:tmpl w:val="4B509A1A"/>
    <w:lvl w:ilvl="0" w:tplc="5F92D5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96353"/>
    <w:multiLevelType w:val="hybridMultilevel"/>
    <w:tmpl w:val="F28A4F44"/>
    <w:lvl w:ilvl="0" w:tplc="B540F84A">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BD074F1"/>
    <w:multiLevelType w:val="hybridMultilevel"/>
    <w:tmpl w:val="3E6E8964"/>
    <w:lvl w:ilvl="0" w:tplc="04090001">
      <w:start w:val="1"/>
      <w:numFmt w:val="bullet"/>
      <w:lvlText w:val=""/>
      <w:lvlJc w:val="left"/>
      <w:pPr>
        <w:ind w:left="1080" w:hanging="72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BE97F7F"/>
    <w:multiLevelType w:val="hybridMultilevel"/>
    <w:tmpl w:val="FAB6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52B0C"/>
    <w:multiLevelType w:val="hybridMultilevel"/>
    <w:tmpl w:val="E504819A"/>
    <w:lvl w:ilvl="0" w:tplc="F9889CAA">
      <w:start w:val="1"/>
      <w:numFmt w:val="lowerRoman"/>
      <w:lvlText w:val="(%1)"/>
      <w:lvlJc w:val="left"/>
      <w:pPr>
        <w:ind w:left="1440" w:hanging="720"/>
      </w:pPr>
      <w:rPr>
        <w:rFonts w:hint="default"/>
      </w:rPr>
    </w:lvl>
    <w:lvl w:ilvl="1" w:tplc="0409000B">
      <w:start w:val="1"/>
      <w:numFmt w:val="bullet"/>
      <w:lvlText w:val=""/>
      <w:lvlJc w:val="left"/>
      <w:pPr>
        <w:ind w:left="1800" w:hanging="360"/>
      </w:pPr>
      <w:rPr>
        <w:rFonts w:ascii="Wingdings" w:hAnsi="Wingdings" w:cs="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CC03710"/>
    <w:multiLevelType w:val="hybridMultilevel"/>
    <w:tmpl w:val="58C4DC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64514"/>
  </w:hdrShapeDefaults>
  <w:footnotePr>
    <w:footnote w:id="0"/>
    <w:footnote w:id="1"/>
  </w:footnotePr>
  <w:endnotePr>
    <w:endnote w:id="0"/>
    <w:endnote w:id="1"/>
  </w:endnotePr>
  <w:compat/>
  <w:rsids>
    <w:rsidRoot w:val="00947F85"/>
    <w:rsid w:val="00000141"/>
    <w:rsid w:val="00001929"/>
    <w:rsid w:val="000038BE"/>
    <w:rsid w:val="00014A8A"/>
    <w:rsid w:val="00024C41"/>
    <w:rsid w:val="00027512"/>
    <w:rsid w:val="000302DC"/>
    <w:rsid w:val="00032A11"/>
    <w:rsid w:val="00035B5A"/>
    <w:rsid w:val="000464C9"/>
    <w:rsid w:val="0005395B"/>
    <w:rsid w:val="000542B0"/>
    <w:rsid w:val="0005677B"/>
    <w:rsid w:val="00060D72"/>
    <w:rsid w:val="00066169"/>
    <w:rsid w:val="000761F3"/>
    <w:rsid w:val="000777A7"/>
    <w:rsid w:val="000842EC"/>
    <w:rsid w:val="00085F58"/>
    <w:rsid w:val="00091391"/>
    <w:rsid w:val="00091D0E"/>
    <w:rsid w:val="000941A9"/>
    <w:rsid w:val="00095106"/>
    <w:rsid w:val="00095C91"/>
    <w:rsid w:val="000A0EE8"/>
    <w:rsid w:val="000A1A46"/>
    <w:rsid w:val="000A2882"/>
    <w:rsid w:val="000A294B"/>
    <w:rsid w:val="000A337E"/>
    <w:rsid w:val="000B215C"/>
    <w:rsid w:val="000B724D"/>
    <w:rsid w:val="000B7F85"/>
    <w:rsid w:val="000C04BD"/>
    <w:rsid w:val="000D1A0C"/>
    <w:rsid w:val="000D33F9"/>
    <w:rsid w:val="000E096A"/>
    <w:rsid w:val="000E463E"/>
    <w:rsid w:val="000E5085"/>
    <w:rsid w:val="000E716F"/>
    <w:rsid w:val="000E7253"/>
    <w:rsid w:val="000F4E45"/>
    <w:rsid w:val="000F68EB"/>
    <w:rsid w:val="000F6ABA"/>
    <w:rsid w:val="00104813"/>
    <w:rsid w:val="00110BD7"/>
    <w:rsid w:val="00117650"/>
    <w:rsid w:val="00122BE8"/>
    <w:rsid w:val="001235EF"/>
    <w:rsid w:val="00130E60"/>
    <w:rsid w:val="00131E17"/>
    <w:rsid w:val="001362C8"/>
    <w:rsid w:val="001525B4"/>
    <w:rsid w:val="0015357E"/>
    <w:rsid w:val="00153EDC"/>
    <w:rsid w:val="00154AEA"/>
    <w:rsid w:val="0015603B"/>
    <w:rsid w:val="00157EA9"/>
    <w:rsid w:val="00160C77"/>
    <w:rsid w:val="00161282"/>
    <w:rsid w:val="00165734"/>
    <w:rsid w:val="00165F8E"/>
    <w:rsid w:val="001660C9"/>
    <w:rsid w:val="00166756"/>
    <w:rsid w:val="001713DB"/>
    <w:rsid w:val="0017254C"/>
    <w:rsid w:val="0018047D"/>
    <w:rsid w:val="00184136"/>
    <w:rsid w:val="00185EE9"/>
    <w:rsid w:val="00186F08"/>
    <w:rsid w:val="00192059"/>
    <w:rsid w:val="00194E05"/>
    <w:rsid w:val="001951F5"/>
    <w:rsid w:val="00195D62"/>
    <w:rsid w:val="00195FC3"/>
    <w:rsid w:val="00197C89"/>
    <w:rsid w:val="001A2682"/>
    <w:rsid w:val="001B6A8B"/>
    <w:rsid w:val="001C27C1"/>
    <w:rsid w:val="001C2FB8"/>
    <w:rsid w:val="001C3BFF"/>
    <w:rsid w:val="001C78ED"/>
    <w:rsid w:val="001D5767"/>
    <w:rsid w:val="002004C1"/>
    <w:rsid w:val="002020F0"/>
    <w:rsid w:val="00203078"/>
    <w:rsid w:val="00206125"/>
    <w:rsid w:val="00206577"/>
    <w:rsid w:val="00210886"/>
    <w:rsid w:val="00212531"/>
    <w:rsid w:val="002170C2"/>
    <w:rsid w:val="002232B3"/>
    <w:rsid w:val="0022361A"/>
    <w:rsid w:val="002308CD"/>
    <w:rsid w:val="00233A99"/>
    <w:rsid w:val="00234C3C"/>
    <w:rsid w:val="00237618"/>
    <w:rsid w:val="00243EB1"/>
    <w:rsid w:val="00247231"/>
    <w:rsid w:val="002608D7"/>
    <w:rsid w:val="00264D25"/>
    <w:rsid w:val="002674B2"/>
    <w:rsid w:val="002716BA"/>
    <w:rsid w:val="00273E8F"/>
    <w:rsid w:val="0027420B"/>
    <w:rsid w:val="002807BA"/>
    <w:rsid w:val="00281A7E"/>
    <w:rsid w:val="0028387F"/>
    <w:rsid w:val="00285C38"/>
    <w:rsid w:val="002879F1"/>
    <w:rsid w:val="002948B5"/>
    <w:rsid w:val="00297994"/>
    <w:rsid w:val="002A09AF"/>
    <w:rsid w:val="002A4470"/>
    <w:rsid w:val="002A44E9"/>
    <w:rsid w:val="002A5255"/>
    <w:rsid w:val="002A629B"/>
    <w:rsid w:val="002B0997"/>
    <w:rsid w:val="002B4253"/>
    <w:rsid w:val="002C138F"/>
    <w:rsid w:val="002C50CD"/>
    <w:rsid w:val="002C6994"/>
    <w:rsid w:val="002D6A10"/>
    <w:rsid w:val="002D6AD7"/>
    <w:rsid w:val="002F19AC"/>
    <w:rsid w:val="002F2145"/>
    <w:rsid w:val="0030219D"/>
    <w:rsid w:val="003023B6"/>
    <w:rsid w:val="00306393"/>
    <w:rsid w:val="003103A5"/>
    <w:rsid w:val="003126E1"/>
    <w:rsid w:val="0031334B"/>
    <w:rsid w:val="003167BE"/>
    <w:rsid w:val="00317AD9"/>
    <w:rsid w:val="003218CE"/>
    <w:rsid w:val="00322AD0"/>
    <w:rsid w:val="003254D3"/>
    <w:rsid w:val="00326E42"/>
    <w:rsid w:val="003272E7"/>
    <w:rsid w:val="00331724"/>
    <w:rsid w:val="00334217"/>
    <w:rsid w:val="0033535E"/>
    <w:rsid w:val="00353BDB"/>
    <w:rsid w:val="00357E6D"/>
    <w:rsid w:val="00361D92"/>
    <w:rsid w:val="00361F18"/>
    <w:rsid w:val="0036276A"/>
    <w:rsid w:val="0036376F"/>
    <w:rsid w:val="00363E68"/>
    <w:rsid w:val="00370028"/>
    <w:rsid w:val="00380BDC"/>
    <w:rsid w:val="003817B7"/>
    <w:rsid w:val="00381EDA"/>
    <w:rsid w:val="003867AC"/>
    <w:rsid w:val="0039044E"/>
    <w:rsid w:val="003928DB"/>
    <w:rsid w:val="00393E8C"/>
    <w:rsid w:val="003944E0"/>
    <w:rsid w:val="0039608F"/>
    <w:rsid w:val="003A5CF9"/>
    <w:rsid w:val="003B1FF9"/>
    <w:rsid w:val="003B4470"/>
    <w:rsid w:val="003B7CAF"/>
    <w:rsid w:val="003B7F02"/>
    <w:rsid w:val="003C2683"/>
    <w:rsid w:val="003C2BDB"/>
    <w:rsid w:val="003C305D"/>
    <w:rsid w:val="003C4C7F"/>
    <w:rsid w:val="003D078D"/>
    <w:rsid w:val="003D0E59"/>
    <w:rsid w:val="003D3481"/>
    <w:rsid w:val="003E44AF"/>
    <w:rsid w:val="003E56CE"/>
    <w:rsid w:val="003F4EDD"/>
    <w:rsid w:val="00400233"/>
    <w:rsid w:val="004006E2"/>
    <w:rsid w:val="0040168A"/>
    <w:rsid w:val="00401E52"/>
    <w:rsid w:val="00403C41"/>
    <w:rsid w:val="00410E9E"/>
    <w:rsid w:val="004157BC"/>
    <w:rsid w:val="00416B38"/>
    <w:rsid w:val="00421376"/>
    <w:rsid w:val="00421D8F"/>
    <w:rsid w:val="00422186"/>
    <w:rsid w:val="00425F05"/>
    <w:rsid w:val="0042632F"/>
    <w:rsid w:val="00427CD1"/>
    <w:rsid w:val="00432697"/>
    <w:rsid w:val="00433ED2"/>
    <w:rsid w:val="00434710"/>
    <w:rsid w:val="0043775D"/>
    <w:rsid w:val="00437CE2"/>
    <w:rsid w:val="004418DA"/>
    <w:rsid w:val="00441AA0"/>
    <w:rsid w:val="00442898"/>
    <w:rsid w:val="00445E35"/>
    <w:rsid w:val="00453BB3"/>
    <w:rsid w:val="0045526C"/>
    <w:rsid w:val="004558B3"/>
    <w:rsid w:val="00455FE3"/>
    <w:rsid w:val="004565C4"/>
    <w:rsid w:val="0046193B"/>
    <w:rsid w:val="00465EF9"/>
    <w:rsid w:val="00475835"/>
    <w:rsid w:val="004771B6"/>
    <w:rsid w:val="00487D5A"/>
    <w:rsid w:val="00492EEA"/>
    <w:rsid w:val="00493180"/>
    <w:rsid w:val="004A2679"/>
    <w:rsid w:val="004A2DE8"/>
    <w:rsid w:val="004A4B97"/>
    <w:rsid w:val="004A52FC"/>
    <w:rsid w:val="004A602F"/>
    <w:rsid w:val="004A6D30"/>
    <w:rsid w:val="004B0D29"/>
    <w:rsid w:val="004B29B1"/>
    <w:rsid w:val="004D6396"/>
    <w:rsid w:val="004E160E"/>
    <w:rsid w:val="004E5BFE"/>
    <w:rsid w:val="004F664A"/>
    <w:rsid w:val="0050163A"/>
    <w:rsid w:val="00510E04"/>
    <w:rsid w:val="0051747E"/>
    <w:rsid w:val="005233FB"/>
    <w:rsid w:val="00530A96"/>
    <w:rsid w:val="0053263F"/>
    <w:rsid w:val="00542DD5"/>
    <w:rsid w:val="00546F20"/>
    <w:rsid w:val="00550AF0"/>
    <w:rsid w:val="00555F74"/>
    <w:rsid w:val="00557063"/>
    <w:rsid w:val="00564127"/>
    <w:rsid w:val="00564130"/>
    <w:rsid w:val="00565B6C"/>
    <w:rsid w:val="00565F8B"/>
    <w:rsid w:val="00570934"/>
    <w:rsid w:val="005768C3"/>
    <w:rsid w:val="005829F4"/>
    <w:rsid w:val="00585C02"/>
    <w:rsid w:val="00586E43"/>
    <w:rsid w:val="0059629D"/>
    <w:rsid w:val="005A01CB"/>
    <w:rsid w:val="005A0526"/>
    <w:rsid w:val="005A1F6B"/>
    <w:rsid w:val="005A3D02"/>
    <w:rsid w:val="005A3E48"/>
    <w:rsid w:val="005A51B9"/>
    <w:rsid w:val="005B3887"/>
    <w:rsid w:val="005B4D5C"/>
    <w:rsid w:val="005B53B8"/>
    <w:rsid w:val="005C08A9"/>
    <w:rsid w:val="005C0BE8"/>
    <w:rsid w:val="005C2686"/>
    <w:rsid w:val="005C4789"/>
    <w:rsid w:val="005C6C63"/>
    <w:rsid w:val="005D30A0"/>
    <w:rsid w:val="005D4094"/>
    <w:rsid w:val="005E0DB3"/>
    <w:rsid w:val="005E296A"/>
    <w:rsid w:val="005E4EF4"/>
    <w:rsid w:val="005F71F0"/>
    <w:rsid w:val="00601483"/>
    <w:rsid w:val="006017B4"/>
    <w:rsid w:val="00602A70"/>
    <w:rsid w:val="00603C28"/>
    <w:rsid w:val="00607CCB"/>
    <w:rsid w:val="006127B8"/>
    <w:rsid w:val="006143E0"/>
    <w:rsid w:val="006173B0"/>
    <w:rsid w:val="006261DF"/>
    <w:rsid w:val="006271EF"/>
    <w:rsid w:val="00631F7C"/>
    <w:rsid w:val="00633514"/>
    <w:rsid w:val="00635404"/>
    <w:rsid w:val="006403A9"/>
    <w:rsid w:val="00640992"/>
    <w:rsid w:val="006477A1"/>
    <w:rsid w:val="00650733"/>
    <w:rsid w:val="0066320D"/>
    <w:rsid w:val="00663514"/>
    <w:rsid w:val="00673BC0"/>
    <w:rsid w:val="00675388"/>
    <w:rsid w:val="006771F7"/>
    <w:rsid w:val="0068025E"/>
    <w:rsid w:val="00682225"/>
    <w:rsid w:val="006824BC"/>
    <w:rsid w:val="00684355"/>
    <w:rsid w:val="006855C8"/>
    <w:rsid w:val="006914BD"/>
    <w:rsid w:val="00695FAC"/>
    <w:rsid w:val="006A2323"/>
    <w:rsid w:val="006A2948"/>
    <w:rsid w:val="006A65DA"/>
    <w:rsid w:val="006A6780"/>
    <w:rsid w:val="006A7ABB"/>
    <w:rsid w:val="006B41B7"/>
    <w:rsid w:val="006B7269"/>
    <w:rsid w:val="006C22D6"/>
    <w:rsid w:val="006C4285"/>
    <w:rsid w:val="006C48E9"/>
    <w:rsid w:val="006D2775"/>
    <w:rsid w:val="006D6804"/>
    <w:rsid w:val="006D7076"/>
    <w:rsid w:val="006E31F6"/>
    <w:rsid w:val="006E7BF0"/>
    <w:rsid w:val="00710319"/>
    <w:rsid w:val="007111F5"/>
    <w:rsid w:val="00712F4A"/>
    <w:rsid w:val="00715C86"/>
    <w:rsid w:val="007164B3"/>
    <w:rsid w:val="00722899"/>
    <w:rsid w:val="00727DF4"/>
    <w:rsid w:val="007327EE"/>
    <w:rsid w:val="007342C1"/>
    <w:rsid w:val="00743F3E"/>
    <w:rsid w:val="0074422E"/>
    <w:rsid w:val="0074461C"/>
    <w:rsid w:val="00744C3D"/>
    <w:rsid w:val="00750D41"/>
    <w:rsid w:val="007549A4"/>
    <w:rsid w:val="00761117"/>
    <w:rsid w:val="007768D5"/>
    <w:rsid w:val="0078197A"/>
    <w:rsid w:val="007837D8"/>
    <w:rsid w:val="00787B57"/>
    <w:rsid w:val="00792608"/>
    <w:rsid w:val="00795291"/>
    <w:rsid w:val="00795901"/>
    <w:rsid w:val="00797830"/>
    <w:rsid w:val="00797BA8"/>
    <w:rsid w:val="007A5CF3"/>
    <w:rsid w:val="007A5FFE"/>
    <w:rsid w:val="007B45F0"/>
    <w:rsid w:val="007B6036"/>
    <w:rsid w:val="007B623A"/>
    <w:rsid w:val="007B7880"/>
    <w:rsid w:val="007B7EC0"/>
    <w:rsid w:val="007C24F5"/>
    <w:rsid w:val="007C5B03"/>
    <w:rsid w:val="007C6878"/>
    <w:rsid w:val="007C6B04"/>
    <w:rsid w:val="007E0204"/>
    <w:rsid w:val="007E3714"/>
    <w:rsid w:val="007E5F7C"/>
    <w:rsid w:val="007E6632"/>
    <w:rsid w:val="007E6D7D"/>
    <w:rsid w:val="007F02C9"/>
    <w:rsid w:val="007F2CBC"/>
    <w:rsid w:val="00802C11"/>
    <w:rsid w:val="00802FFB"/>
    <w:rsid w:val="00805907"/>
    <w:rsid w:val="00806A86"/>
    <w:rsid w:val="008113EE"/>
    <w:rsid w:val="00815145"/>
    <w:rsid w:val="008236FB"/>
    <w:rsid w:val="00823BC5"/>
    <w:rsid w:val="00827447"/>
    <w:rsid w:val="00827BF0"/>
    <w:rsid w:val="00827F69"/>
    <w:rsid w:val="0083076B"/>
    <w:rsid w:val="00834EFF"/>
    <w:rsid w:val="00834F62"/>
    <w:rsid w:val="008356D5"/>
    <w:rsid w:val="0083583B"/>
    <w:rsid w:val="008377AA"/>
    <w:rsid w:val="008439A2"/>
    <w:rsid w:val="00846044"/>
    <w:rsid w:val="00846C68"/>
    <w:rsid w:val="00853222"/>
    <w:rsid w:val="008538C6"/>
    <w:rsid w:val="008603D8"/>
    <w:rsid w:val="00860DA1"/>
    <w:rsid w:val="00870134"/>
    <w:rsid w:val="008808D7"/>
    <w:rsid w:val="00880B7B"/>
    <w:rsid w:val="0088122F"/>
    <w:rsid w:val="008817B4"/>
    <w:rsid w:val="008840BC"/>
    <w:rsid w:val="00886F74"/>
    <w:rsid w:val="00887530"/>
    <w:rsid w:val="00890F6D"/>
    <w:rsid w:val="0089366E"/>
    <w:rsid w:val="00894194"/>
    <w:rsid w:val="00897C05"/>
    <w:rsid w:val="008A14BE"/>
    <w:rsid w:val="008A2BC1"/>
    <w:rsid w:val="008A3557"/>
    <w:rsid w:val="008A5784"/>
    <w:rsid w:val="008A599C"/>
    <w:rsid w:val="008B1A63"/>
    <w:rsid w:val="008C297C"/>
    <w:rsid w:val="008C31E5"/>
    <w:rsid w:val="008C35A0"/>
    <w:rsid w:val="008C45F1"/>
    <w:rsid w:val="008C51B6"/>
    <w:rsid w:val="008C5E09"/>
    <w:rsid w:val="008D33D5"/>
    <w:rsid w:val="008D511F"/>
    <w:rsid w:val="008E20FF"/>
    <w:rsid w:val="008F09FC"/>
    <w:rsid w:val="008F1E5B"/>
    <w:rsid w:val="008F35A9"/>
    <w:rsid w:val="008F3E64"/>
    <w:rsid w:val="00906D5C"/>
    <w:rsid w:val="00910557"/>
    <w:rsid w:val="0091276E"/>
    <w:rsid w:val="00913DC1"/>
    <w:rsid w:val="00925763"/>
    <w:rsid w:val="00927E14"/>
    <w:rsid w:val="009300CF"/>
    <w:rsid w:val="00930347"/>
    <w:rsid w:val="00931D91"/>
    <w:rsid w:val="00935EEE"/>
    <w:rsid w:val="00937BCA"/>
    <w:rsid w:val="00940EDC"/>
    <w:rsid w:val="00943290"/>
    <w:rsid w:val="00947F6E"/>
    <w:rsid w:val="00947F85"/>
    <w:rsid w:val="009531B1"/>
    <w:rsid w:val="009533E2"/>
    <w:rsid w:val="00953926"/>
    <w:rsid w:val="00953DF2"/>
    <w:rsid w:val="00964B6A"/>
    <w:rsid w:val="00966D27"/>
    <w:rsid w:val="0097255D"/>
    <w:rsid w:val="009754A1"/>
    <w:rsid w:val="009822A7"/>
    <w:rsid w:val="00983DB3"/>
    <w:rsid w:val="009847AF"/>
    <w:rsid w:val="0099397E"/>
    <w:rsid w:val="00995633"/>
    <w:rsid w:val="009959E0"/>
    <w:rsid w:val="00995A33"/>
    <w:rsid w:val="009A3C20"/>
    <w:rsid w:val="009B129D"/>
    <w:rsid w:val="009C4048"/>
    <w:rsid w:val="009C593B"/>
    <w:rsid w:val="009C77B4"/>
    <w:rsid w:val="009D3C1F"/>
    <w:rsid w:val="009D4A66"/>
    <w:rsid w:val="009D6CB3"/>
    <w:rsid w:val="009D6D50"/>
    <w:rsid w:val="009E4C25"/>
    <w:rsid w:val="009E5026"/>
    <w:rsid w:val="009F4797"/>
    <w:rsid w:val="009F6955"/>
    <w:rsid w:val="009F7D39"/>
    <w:rsid w:val="00A0016A"/>
    <w:rsid w:val="00A0283A"/>
    <w:rsid w:val="00A06FD9"/>
    <w:rsid w:val="00A13E7D"/>
    <w:rsid w:val="00A1682E"/>
    <w:rsid w:val="00A16959"/>
    <w:rsid w:val="00A215C0"/>
    <w:rsid w:val="00A22D67"/>
    <w:rsid w:val="00A26243"/>
    <w:rsid w:val="00A266D4"/>
    <w:rsid w:val="00A31D28"/>
    <w:rsid w:val="00A3438D"/>
    <w:rsid w:val="00A34DC2"/>
    <w:rsid w:val="00A5205C"/>
    <w:rsid w:val="00A55CA2"/>
    <w:rsid w:val="00A56E67"/>
    <w:rsid w:val="00A648DA"/>
    <w:rsid w:val="00A70A1B"/>
    <w:rsid w:val="00A72B6D"/>
    <w:rsid w:val="00A83489"/>
    <w:rsid w:val="00A83D46"/>
    <w:rsid w:val="00A9345D"/>
    <w:rsid w:val="00A95796"/>
    <w:rsid w:val="00A9597C"/>
    <w:rsid w:val="00A96408"/>
    <w:rsid w:val="00A977E9"/>
    <w:rsid w:val="00AA28A0"/>
    <w:rsid w:val="00AA5FED"/>
    <w:rsid w:val="00AA733D"/>
    <w:rsid w:val="00AC1960"/>
    <w:rsid w:val="00AC2774"/>
    <w:rsid w:val="00AC2CE3"/>
    <w:rsid w:val="00AD09AC"/>
    <w:rsid w:val="00AE306D"/>
    <w:rsid w:val="00AE4A33"/>
    <w:rsid w:val="00AE6957"/>
    <w:rsid w:val="00AE71E9"/>
    <w:rsid w:val="00AE77B3"/>
    <w:rsid w:val="00B16F80"/>
    <w:rsid w:val="00B2093E"/>
    <w:rsid w:val="00B22C5F"/>
    <w:rsid w:val="00B23CF2"/>
    <w:rsid w:val="00B23EB7"/>
    <w:rsid w:val="00B25449"/>
    <w:rsid w:val="00B457BB"/>
    <w:rsid w:val="00B4656D"/>
    <w:rsid w:val="00B47717"/>
    <w:rsid w:val="00B47AA5"/>
    <w:rsid w:val="00B50F41"/>
    <w:rsid w:val="00B61006"/>
    <w:rsid w:val="00B61D59"/>
    <w:rsid w:val="00B64DC2"/>
    <w:rsid w:val="00B67E7C"/>
    <w:rsid w:val="00B73AAC"/>
    <w:rsid w:val="00B75DD9"/>
    <w:rsid w:val="00B76F64"/>
    <w:rsid w:val="00B81192"/>
    <w:rsid w:val="00B83C91"/>
    <w:rsid w:val="00B862CC"/>
    <w:rsid w:val="00B97078"/>
    <w:rsid w:val="00BA0800"/>
    <w:rsid w:val="00BA687D"/>
    <w:rsid w:val="00BA7AA9"/>
    <w:rsid w:val="00BB2176"/>
    <w:rsid w:val="00BB2806"/>
    <w:rsid w:val="00BB37FB"/>
    <w:rsid w:val="00BB7979"/>
    <w:rsid w:val="00BC003A"/>
    <w:rsid w:val="00BC4BEE"/>
    <w:rsid w:val="00BD679F"/>
    <w:rsid w:val="00BD7655"/>
    <w:rsid w:val="00BF1B0B"/>
    <w:rsid w:val="00BF293C"/>
    <w:rsid w:val="00BF7312"/>
    <w:rsid w:val="00C01211"/>
    <w:rsid w:val="00C02BC7"/>
    <w:rsid w:val="00C036B5"/>
    <w:rsid w:val="00C07BB0"/>
    <w:rsid w:val="00C13787"/>
    <w:rsid w:val="00C13EF2"/>
    <w:rsid w:val="00C21F0C"/>
    <w:rsid w:val="00C246CE"/>
    <w:rsid w:val="00C25FBE"/>
    <w:rsid w:val="00C27487"/>
    <w:rsid w:val="00C33E1A"/>
    <w:rsid w:val="00C340B5"/>
    <w:rsid w:val="00C34249"/>
    <w:rsid w:val="00C402B7"/>
    <w:rsid w:val="00C40D86"/>
    <w:rsid w:val="00C4221F"/>
    <w:rsid w:val="00C46E7F"/>
    <w:rsid w:val="00C60E66"/>
    <w:rsid w:val="00C61248"/>
    <w:rsid w:val="00C616D6"/>
    <w:rsid w:val="00C65216"/>
    <w:rsid w:val="00C65E90"/>
    <w:rsid w:val="00C67B4B"/>
    <w:rsid w:val="00C7029A"/>
    <w:rsid w:val="00C71B1A"/>
    <w:rsid w:val="00C80D5A"/>
    <w:rsid w:val="00C81A47"/>
    <w:rsid w:val="00C82578"/>
    <w:rsid w:val="00C868FE"/>
    <w:rsid w:val="00C91076"/>
    <w:rsid w:val="00C91598"/>
    <w:rsid w:val="00C9365F"/>
    <w:rsid w:val="00CA4121"/>
    <w:rsid w:val="00CA42BD"/>
    <w:rsid w:val="00CA5B65"/>
    <w:rsid w:val="00CC3134"/>
    <w:rsid w:val="00CC4DAF"/>
    <w:rsid w:val="00CD2B5C"/>
    <w:rsid w:val="00CD3083"/>
    <w:rsid w:val="00CD3817"/>
    <w:rsid w:val="00CD7558"/>
    <w:rsid w:val="00CE26DD"/>
    <w:rsid w:val="00CE2701"/>
    <w:rsid w:val="00CE3E0A"/>
    <w:rsid w:val="00CE433F"/>
    <w:rsid w:val="00CE5020"/>
    <w:rsid w:val="00CE59A8"/>
    <w:rsid w:val="00CE59C6"/>
    <w:rsid w:val="00CE6943"/>
    <w:rsid w:val="00CF3B3B"/>
    <w:rsid w:val="00CF3D55"/>
    <w:rsid w:val="00CF6EF2"/>
    <w:rsid w:val="00CF6FEF"/>
    <w:rsid w:val="00CF7830"/>
    <w:rsid w:val="00D02E62"/>
    <w:rsid w:val="00D04BEB"/>
    <w:rsid w:val="00D0749D"/>
    <w:rsid w:val="00D077F3"/>
    <w:rsid w:val="00D136BC"/>
    <w:rsid w:val="00D15CCD"/>
    <w:rsid w:val="00D217D8"/>
    <w:rsid w:val="00D24D42"/>
    <w:rsid w:val="00D26F8E"/>
    <w:rsid w:val="00D30746"/>
    <w:rsid w:val="00D525A7"/>
    <w:rsid w:val="00D554EA"/>
    <w:rsid w:val="00D56169"/>
    <w:rsid w:val="00D56B96"/>
    <w:rsid w:val="00D56C07"/>
    <w:rsid w:val="00D60663"/>
    <w:rsid w:val="00D641ED"/>
    <w:rsid w:val="00D739C4"/>
    <w:rsid w:val="00D74947"/>
    <w:rsid w:val="00D752FA"/>
    <w:rsid w:val="00D83954"/>
    <w:rsid w:val="00D860F8"/>
    <w:rsid w:val="00D86EE3"/>
    <w:rsid w:val="00D904F5"/>
    <w:rsid w:val="00D90A47"/>
    <w:rsid w:val="00D9403D"/>
    <w:rsid w:val="00D96834"/>
    <w:rsid w:val="00DA2284"/>
    <w:rsid w:val="00DA26A6"/>
    <w:rsid w:val="00DA5DA8"/>
    <w:rsid w:val="00DB6084"/>
    <w:rsid w:val="00DB614D"/>
    <w:rsid w:val="00DB6171"/>
    <w:rsid w:val="00DB6366"/>
    <w:rsid w:val="00DC119B"/>
    <w:rsid w:val="00DC2FAC"/>
    <w:rsid w:val="00DC5808"/>
    <w:rsid w:val="00DC643D"/>
    <w:rsid w:val="00DC66ED"/>
    <w:rsid w:val="00DD408B"/>
    <w:rsid w:val="00DD4291"/>
    <w:rsid w:val="00DD65C1"/>
    <w:rsid w:val="00DE1D2A"/>
    <w:rsid w:val="00DE503D"/>
    <w:rsid w:val="00DE57AB"/>
    <w:rsid w:val="00DE70F9"/>
    <w:rsid w:val="00DF3552"/>
    <w:rsid w:val="00E01A98"/>
    <w:rsid w:val="00E02BA9"/>
    <w:rsid w:val="00E03082"/>
    <w:rsid w:val="00E06CA2"/>
    <w:rsid w:val="00E12C41"/>
    <w:rsid w:val="00E1361C"/>
    <w:rsid w:val="00E17CD2"/>
    <w:rsid w:val="00E17D9E"/>
    <w:rsid w:val="00E22BE8"/>
    <w:rsid w:val="00E2358D"/>
    <w:rsid w:val="00E316A1"/>
    <w:rsid w:val="00E348EE"/>
    <w:rsid w:val="00E34EB2"/>
    <w:rsid w:val="00E370DF"/>
    <w:rsid w:val="00E4077E"/>
    <w:rsid w:val="00E43B19"/>
    <w:rsid w:val="00E53D23"/>
    <w:rsid w:val="00E55214"/>
    <w:rsid w:val="00E632D6"/>
    <w:rsid w:val="00E665EB"/>
    <w:rsid w:val="00E739B0"/>
    <w:rsid w:val="00E80C33"/>
    <w:rsid w:val="00E80CD7"/>
    <w:rsid w:val="00E80F28"/>
    <w:rsid w:val="00E8346A"/>
    <w:rsid w:val="00E8432C"/>
    <w:rsid w:val="00E879D1"/>
    <w:rsid w:val="00E904A8"/>
    <w:rsid w:val="00EA1B1E"/>
    <w:rsid w:val="00EA356A"/>
    <w:rsid w:val="00EA38D7"/>
    <w:rsid w:val="00EA3DA6"/>
    <w:rsid w:val="00EC4BAB"/>
    <w:rsid w:val="00EC64EE"/>
    <w:rsid w:val="00ED6A09"/>
    <w:rsid w:val="00ED7150"/>
    <w:rsid w:val="00ED7F86"/>
    <w:rsid w:val="00EE2D2A"/>
    <w:rsid w:val="00EF3665"/>
    <w:rsid w:val="00EF714F"/>
    <w:rsid w:val="00EF787D"/>
    <w:rsid w:val="00F12BF6"/>
    <w:rsid w:val="00F1525C"/>
    <w:rsid w:val="00F2168B"/>
    <w:rsid w:val="00F22820"/>
    <w:rsid w:val="00F3128F"/>
    <w:rsid w:val="00F31976"/>
    <w:rsid w:val="00F35184"/>
    <w:rsid w:val="00F4057C"/>
    <w:rsid w:val="00F4077E"/>
    <w:rsid w:val="00F415B8"/>
    <w:rsid w:val="00F4515C"/>
    <w:rsid w:val="00F571C0"/>
    <w:rsid w:val="00F6034B"/>
    <w:rsid w:val="00F63EBD"/>
    <w:rsid w:val="00F666B0"/>
    <w:rsid w:val="00F70492"/>
    <w:rsid w:val="00F80AC0"/>
    <w:rsid w:val="00F8150C"/>
    <w:rsid w:val="00F84DBF"/>
    <w:rsid w:val="00F91247"/>
    <w:rsid w:val="00F92046"/>
    <w:rsid w:val="00F934D7"/>
    <w:rsid w:val="00FA288B"/>
    <w:rsid w:val="00FA57CD"/>
    <w:rsid w:val="00FB035C"/>
    <w:rsid w:val="00FC2636"/>
    <w:rsid w:val="00FD07DD"/>
    <w:rsid w:val="00FD198E"/>
    <w:rsid w:val="00FD1CCB"/>
    <w:rsid w:val="00FD3093"/>
    <w:rsid w:val="00FD3830"/>
    <w:rsid w:val="00FE14D5"/>
    <w:rsid w:val="00FE65B3"/>
    <w:rsid w:val="00FF578A"/>
    <w:rsid w:val="00FF5BA4"/>
    <w:rsid w:val="00FF6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EA"/>
    <w:pPr>
      <w:spacing w:after="200" w:line="276" w:lineRule="auto"/>
    </w:pPr>
    <w:rPr>
      <w:rFonts w:cs="Calibri"/>
    </w:rPr>
  </w:style>
  <w:style w:type="paragraph" w:styleId="Heading1">
    <w:name w:val="heading 1"/>
    <w:basedOn w:val="Normal"/>
    <w:next w:val="Normal"/>
    <w:link w:val="Heading1Char"/>
    <w:uiPriority w:val="99"/>
    <w:qFormat/>
    <w:rsid w:val="002D6AD7"/>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6AD7"/>
    <w:rPr>
      <w:rFonts w:ascii="Cambria" w:hAnsi="Cambria" w:cs="Cambria"/>
      <w:b/>
      <w:bCs/>
      <w:color w:val="365F91"/>
      <w:sz w:val="28"/>
      <w:szCs w:val="28"/>
    </w:rPr>
  </w:style>
  <w:style w:type="table" w:styleId="TableGrid">
    <w:name w:val="Table Grid"/>
    <w:basedOn w:val="TableNormal"/>
    <w:uiPriority w:val="99"/>
    <w:rsid w:val="00995A3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A33"/>
    <w:rPr>
      <w:rFonts w:ascii="Tahoma" w:hAnsi="Tahoma" w:cs="Tahoma"/>
      <w:sz w:val="16"/>
      <w:szCs w:val="16"/>
    </w:rPr>
  </w:style>
  <w:style w:type="paragraph" w:styleId="Header">
    <w:name w:val="header"/>
    <w:basedOn w:val="Normal"/>
    <w:link w:val="HeaderChar"/>
    <w:uiPriority w:val="99"/>
    <w:semiHidden/>
    <w:rsid w:val="001657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65734"/>
  </w:style>
  <w:style w:type="paragraph" w:styleId="Footer">
    <w:name w:val="footer"/>
    <w:basedOn w:val="Normal"/>
    <w:link w:val="FooterChar"/>
    <w:uiPriority w:val="99"/>
    <w:rsid w:val="0016573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734"/>
  </w:style>
  <w:style w:type="paragraph" w:styleId="ListParagraph">
    <w:name w:val="List Paragraph"/>
    <w:basedOn w:val="Normal"/>
    <w:uiPriority w:val="99"/>
    <w:qFormat/>
    <w:rsid w:val="008F09FC"/>
    <w:pPr>
      <w:ind w:left="720"/>
    </w:pPr>
  </w:style>
  <w:style w:type="character" w:styleId="Strong">
    <w:name w:val="Strong"/>
    <w:basedOn w:val="DefaultParagraphFont"/>
    <w:uiPriority w:val="99"/>
    <w:qFormat/>
    <w:rsid w:val="00C34249"/>
    <w:rPr>
      <w:b/>
      <w:bCs/>
    </w:rPr>
  </w:style>
</w:styles>
</file>

<file path=word/webSettings.xml><?xml version="1.0" encoding="utf-8"?>
<w:webSettings xmlns:r="http://schemas.openxmlformats.org/officeDocument/2006/relationships" xmlns:w="http://schemas.openxmlformats.org/wordprocessingml/2006/main">
  <w:divs>
    <w:div w:id="120659361">
      <w:bodyDiv w:val="1"/>
      <w:marLeft w:val="0"/>
      <w:marRight w:val="0"/>
      <w:marTop w:val="0"/>
      <w:marBottom w:val="0"/>
      <w:divBdr>
        <w:top w:val="none" w:sz="0" w:space="0" w:color="auto"/>
        <w:left w:val="none" w:sz="0" w:space="0" w:color="auto"/>
        <w:bottom w:val="none" w:sz="0" w:space="0" w:color="auto"/>
        <w:right w:val="none" w:sz="0" w:space="0" w:color="auto"/>
      </w:divBdr>
      <w:divsChild>
        <w:div w:id="2103068096">
          <w:marLeft w:val="0"/>
          <w:marRight w:val="0"/>
          <w:marTop w:val="100"/>
          <w:marBottom w:val="0"/>
          <w:divBdr>
            <w:top w:val="none" w:sz="0" w:space="0" w:color="auto"/>
            <w:left w:val="none" w:sz="0" w:space="0" w:color="auto"/>
            <w:bottom w:val="none" w:sz="0" w:space="0" w:color="auto"/>
            <w:right w:val="none" w:sz="0" w:space="0" w:color="auto"/>
          </w:divBdr>
        </w:div>
        <w:div w:id="1997566367">
          <w:marLeft w:val="0"/>
          <w:marRight w:val="0"/>
          <w:marTop w:val="0"/>
          <w:marBottom w:val="0"/>
          <w:divBdr>
            <w:top w:val="none" w:sz="0" w:space="0" w:color="auto"/>
            <w:left w:val="none" w:sz="0" w:space="0" w:color="auto"/>
            <w:bottom w:val="none" w:sz="0" w:space="0" w:color="auto"/>
            <w:right w:val="none" w:sz="0" w:space="0" w:color="auto"/>
          </w:divBdr>
          <w:divsChild>
            <w:div w:id="820928555">
              <w:marLeft w:val="0"/>
              <w:marRight w:val="0"/>
              <w:marTop w:val="0"/>
              <w:marBottom w:val="0"/>
              <w:divBdr>
                <w:top w:val="none" w:sz="0" w:space="0" w:color="auto"/>
                <w:left w:val="none" w:sz="0" w:space="0" w:color="auto"/>
                <w:bottom w:val="none" w:sz="0" w:space="0" w:color="auto"/>
                <w:right w:val="none" w:sz="0" w:space="0" w:color="auto"/>
              </w:divBdr>
              <w:divsChild>
                <w:div w:id="17907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2969">
      <w:bodyDiv w:val="1"/>
      <w:marLeft w:val="0"/>
      <w:marRight w:val="0"/>
      <w:marTop w:val="0"/>
      <w:marBottom w:val="0"/>
      <w:divBdr>
        <w:top w:val="none" w:sz="0" w:space="0" w:color="auto"/>
        <w:left w:val="none" w:sz="0" w:space="0" w:color="auto"/>
        <w:bottom w:val="none" w:sz="0" w:space="0" w:color="auto"/>
        <w:right w:val="none" w:sz="0" w:space="0" w:color="auto"/>
      </w:divBdr>
      <w:divsChild>
        <w:div w:id="2047439482">
          <w:marLeft w:val="0"/>
          <w:marRight w:val="0"/>
          <w:marTop w:val="100"/>
          <w:marBottom w:val="0"/>
          <w:divBdr>
            <w:top w:val="none" w:sz="0" w:space="0" w:color="auto"/>
            <w:left w:val="none" w:sz="0" w:space="0" w:color="auto"/>
            <w:bottom w:val="none" w:sz="0" w:space="0" w:color="auto"/>
            <w:right w:val="none" w:sz="0" w:space="0" w:color="auto"/>
          </w:divBdr>
        </w:div>
        <w:div w:id="1221356492">
          <w:marLeft w:val="0"/>
          <w:marRight w:val="0"/>
          <w:marTop w:val="0"/>
          <w:marBottom w:val="0"/>
          <w:divBdr>
            <w:top w:val="none" w:sz="0" w:space="0" w:color="auto"/>
            <w:left w:val="none" w:sz="0" w:space="0" w:color="auto"/>
            <w:bottom w:val="none" w:sz="0" w:space="0" w:color="auto"/>
            <w:right w:val="none" w:sz="0" w:space="0" w:color="auto"/>
          </w:divBdr>
          <w:divsChild>
            <w:div w:id="1569684047">
              <w:marLeft w:val="0"/>
              <w:marRight w:val="0"/>
              <w:marTop w:val="0"/>
              <w:marBottom w:val="0"/>
              <w:divBdr>
                <w:top w:val="none" w:sz="0" w:space="0" w:color="auto"/>
                <w:left w:val="none" w:sz="0" w:space="0" w:color="auto"/>
                <w:bottom w:val="none" w:sz="0" w:space="0" w:color="auto"/>
                <w:right w:val="none" w:sz="0" w:space="0" w:color="auto"/>
              </w:divBdr>
              <w:divsChild>
                <w:div w:id="13095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3324">
      <w:bodyDiv w:val="1"/>
      <w:marLeft w:val="0"/>
      <w:marRight w:val="0"/>
      <w:marTop w:val="0"/>
      <w:marBottom w:val="0"/>
      <w:divBdr>
        <w:top w:val="none" w:sz="0" w:space="0" w:color="auto"/>
        <w:left w:val="none" w:sz="0" w:space="0" w:color="auto"/>
        <w:bottom w:val="none" w:sz="0" w:space="0" w:color="auto"/>
        <w:right w:val="none" w:sz="0" w:space="0" w:color="auto"/>
      </w:divBdr>
      <w:divsChild>
        <w:div w:id="66727323">
          <w:marLeft w:val="0"/>
          <w:marRight w:val="0"/>
          <w:marTop w:val="100"/>
          <w:marBottom w:val="0"/>
          <w:divBdr>
            <w:top w:val="none" w:sz="0" w:space="0" w:color="auto"/>
            <w:left w:val="none" w:sz="0" w:space="0" w:color="auto"/>
            <w:bottom w:val="none" w:sz="0" w:space="0" w:color="auto"/>
            <w:right w:val="none" w:sz="0" w:space="0" w:color="auto"/>
          </w:divBdr>
        </w:div>
        <w:div w:id="1282229427">
          <w:marLeft w:val="0"/>
          <w:marRight w:val="0"/>
          <w:marTop w:val="0"/>
          <w:marBottom w:val="0"/>
          <w:divBdr>
            <w:top w:val="none" w:sz="0" w:space="0" w:color="auto"/>
            <w:left w:val="none" w:sz="0" w:space="0" w:color="auto"/>
            <w:bottom w:val="none" w:sz="0" w:space="0" w:color="auto"/>
            <w:right w:val="none" w:sz="0" w:space="0" w:color="auto"/>
          </w:divBdr>
          <w:divsChild>
            <w:div w:id="1679961430">
              <w:marLeft w:val="0"/>
              <w:marRight w:val="0"/>
              <w:marTop w:val="0"/>
              <w:marBottom w:val="0"/>
              <w:divBdr>
                <w:top w:val="none" w:sz="0" w:space="0" w:color="auto"/>
                <w:left w:val="none" w:sz="0" w:space="0" w:color="auto"/>
                <w:bottom w:val="none" w:sz="0" w:space="0" w:color="auto"/>
                <w:right w:val="none" w:sz="0" w:space="0" w:color="auto"/>
              </w:divBdr>
              <w:divsChild>
                <w:div w:id="8461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029">
      <w:bodyDiv w:val="1"/>
      <w:marLeft w:val="0"/>
      <w:marRight w:val="0"/>
      <w:marTop w:val="0"/>
      <w:marBottom w:val="0"/>
      <w:divBdr>
        <w:top w:val="none" w:sz="0" w:space="0" w:color="auto"/>
        <w:left w:val="none" w:sz="0" w:space="0" w:color="auto"/>
        <w:bottom w:val="none" w:sz="0" w:space="0" w:color="auto"/>
        <w:right w:val="none" w:sz="0" w:space="0" w:color="auto"/>
      </w:divBdr>
      <w:divsChild>
        <w:div w:id="173231606">
          <w:marLeft w:val="0"/>
          <w:marRight w:val="0"/>
          <w:marTop w:val="100"/>
          <w:marBottom w:val="0"/>
          <w:divBdr>
            <w:top w:val="none" w:sz="0" w:space="0" w:color="auto"/>
            <w:left w:val="none" w:sz="0" w:space="0" w:color="auto"/>
            <w:bottom w:val="none" w:sz="0" w:space="0" w:color="auto"/>
            <w:right w:val="none" w:sz="0" w:space="0" w:color="auto"/>
          </w:divBdr>
          <w:divsChild>
            <w:div w:id="1334213630">
              <w:marLeft w:val="0"/>
              <w:marRight w:val="0"/>
              <w:marTop w:val="0"/>
              <w:marBottom w:val="0"/>
              <w:divBdr>
                <w:top w:val="none" w:sz="0" w:space="0" w:color="auto"/>
                <w:left w:val="none" w:sz="0" w:space="0" w:color="auto"/>
                <w:bottom w:val="none" w:sz="0" w:space="0" w:color="auto"/>
                <w:right w:val="none" w:sz="0" w:space="0" w:color="auto"/>
              </w:divBdr>
              <w:divsChild>
                <w:div w:id="1885407648">
                  <w:marLeft w:val="0"/>
                  <w:marRight w:val="0"/>
                  <w:marTop w:val="0"/>
                  <w:marBottom w:val="0"/>
                  <w:divBdr>
                    <w:top w:val="none" w:sz="0" w:space="0" w:color="auto"/>
                    <w:left w:val="none" w:sz="0" w:space="0" w:color="auto"/>
                    <w:bottom w:val="none" w:sz="0" w:space="0" w:color="auto"/>
                    <w:right w:val="none" w:sz="0" w:space="0" w:color="auto"/>
                  </w:divBdr>
                  <w:divsChild>
                    <w:div w:id="74226077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60957366">
              <w:marLeft w:val="0"/>
              <w:marRight w:val="0"/>
              <w:marTop w:val="0"/>
              <w:marBottom w:val="0"/>
              <w:divBdr>
                <w:top w:val="none" w:sz="0" w:space="0" w:color="auto"/>
                <w:left w:val="none" w:sz="0" w:space="0" w:color="auto"/>
                <w:bottom w:val="none" w:sz="0" w:space="0" w:color="auto"/>
                <w:right w:val="none" w:sz="0" w:space="0" w:color="auto"/>
              </w:divBdr>
              <w:divsChild>
                <w:div w:id="1589728488">
                  <w:marLeft w:val="0"/>
                  <w:marRight w:val="0"/>
                  <w:marTop w:val="0"/>
                  <w:marBottom w:val="0"/>
                  <w:divBdr>
                    <w:top w:val="none" w:sz="0" w:space="0" w:color="auto"/>
                    <w:left w:val="none" w:sz="0" w:space="0" w:color="auto"/>
                    <w:bottom w:val="none" w:sz="0" w:space="0" w:color="auto"/>
                    <w:right w:val="none" w:sz="0" w:space="0" w:color="auto"/>
                  </w:divBdr>
                  <w:divsChild>
                    <w:div w:id="1608730314">
                      <w:marLeft w:val="0"/>
                      <w:marRight w:val="0"/>
                      <w:marTop w:val="0"/>
                      <w:marBottom w:val="0"/>
                      <w:divBdr>
                        <w:top w:val="none" w:sz="0" w:space="0" w:color="auto"/>
                        <w:left w:val="none" w:sz="0" w:space="0" w:color="auto"/>
                        <w:bottom w:val="none" w:sz="0" w:space="0" w:color="auto"/>
                        <w:right w:val="none" w:sz="0" w:space="0" w:color="auto"/>
                      </w:divBdr>
                      <w:divsChild>
                        <w:div w:id="15253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4788">
          <w:marLeft w:val="0"/>
          <w:marRight w:val="0"/>
          <w:marTop w:val="0"/>
          <w:marBottom w:val="0"/>
          <w:divBdr>
            <w:top w:val="none" w:sz="0" w:space="0" w:color="auto"/>
            <w:left w:val="none" w:sz="0" w:space="0" w:color="auto"/>
            <w:bottom w:val="none" w:sz="0" w:space="0" w:color="auto"/>
            <w:right w:val="none" w:sz="0" w:space="0" w:color="auto"/>
          </w:divBdr>
          <w:divsChild>
            <w:div w:id="1191143777">
              <w:marLeft w:val="0"/>
              <w:marRight w:val="0"/>
              <w:marTop w:val="0"/>
              <w:marBottom w:val="0"/>
              <w:divBdr>
                <w:top w:val="none" w:sz="0" w:space="0" w:color="auto"/>
                <w:left w:val="none" w:sz="0" w:space="0" w:color="auto"/>
                <w:bottom w:val="none" w:sz="0" w:space="0" w:color="auto"/>
                <w:right w:val="none" w:sz="0" w:space="0" w:color="auto"/>
              </w:divBdr>
              <w:divsChild>
                <w:div w:id="17927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60821">
      <w:bodyDiv w:val="1"/>
      <w:marLeft w:val="0"/>
      <w:marRight w:val="0"/>
      <w:marTop w:val="0"/>
      <w:marBottom w:val="0"/>
      <w:divBdr>
        <w:top w:val="none" w:sz="0" w:space="0" w:color="auto"/>
        <w:left w:val="none" w:sz="0" w:space="0" w:color="auto"/>
        <w:bottom w:val="none" w:sz="0" w:space="0" w:color="auto"/>
        <w:right w:val="none" w:sz="0" w:space="0" w:color="auto"/>
      </w:divBdr>
      <w:divsChild>
        <w:div w:id="671682926">
          <w:marLeft w:val="0"/>
          <w:marRight w:val="0"/>
          <w:marTop w:val="100"/>
          <w:marBottom w:val="0"/>
          <w:divBdr>
            <w:top w:val="none" w:sz="0" w:space="0" w:color="auto"/>
            <w:left w:val="none" w:sz="0" w:space="0" w:color="auto"/>
            <w:bottom w:val="none" w:sz="0" w:space="0" w:color="auto"/>
            <w:right w:val="none" w:sz="0" w:space="0" w:color="auto"/>
          </w:divBdr>
        </w:div>
        <w:div w:id="80370703">
          <w:marLeft w:val="0"/>
          <w:marRight w:val="0"/>
          <w:marTop w:val="0"/>
          <w:marBottom w:val="0"/>
          <w:divBdr>
            <w:top w:val="none" w:sz="0" w:space="0" w:color="auto"/>
            <w:left w:val="none" w:sz="0" w:space="0" w:color="auto"/>
            <w:bottom w:val="none" w:sz="0" w:space="0" w:color="auto"/>
            <w:right w:val="none" w:sz="0" w:space="0" w:color="auto"/>
          </w:divBdr>
          <w:divsChild>
            <w:div w:id="989944164">
              <w:marLeft w:val="0"/>
              <w:marRight w:val="0"/>
              <w:marTop w:val="0"/>
              <w:marBottom w:val="0"/>
              <w:divBdr>
                <w:top w:val="none" w:sz="0" w:space="0" w:color="auto"/>
                <w:left w:val="none" w:sz="0" w:space="0" w:color="auto"/>
                <w:bottom w:val="none" w:sz="0" w:space="0" w:color="auto"/>
                <w:right w:val="none" w:sz="0" w:space="0" w:color="auto"/>
              </w:divBdr>
              <w:divsChild>
                <w:div w:id="8831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2758">
      <w:bodyDiv w:val="1"/>
      <w:marLeft w:val="0"/>
      <w:marRight w:val="0"/>
      <w:marTop w:val="0"/>
      <w:marBottom w:val="0"/>
      <w:divBdr>
        <w:top w:val="none" w:sz="0" w:space="0" w:color="auto"/>
        <w:left w:val="none" w:sz="0" w:space="0" w:color="auto"/>
        <w:bottom w:val="none" w:sz="0" w:space="0" w:color="auto"/>
        <w:right w:val="none" w:sz="0" w:space="0" w:color="auto"/>
      </w:divBdr>
      <w:divsChild>
        <w:div w:id="2138983649">
          <w:marLeft w:val="0"/>
          <w:marRight w:val="0"/>
          <w:marTop w:val="100"/>
          <w:marBottom w:val="0"/>
          <w:divBdr>
            <w:top w:val="none" w:sz="0" w:space="0" w:color="auto"/>
            <w:left w:val="none" w:sz="0" w:space="0" w:color="auto"/>
            <w:bottom w:val="none" w:sz="0" w:space="0" w:color="auto"/>
            <w:right w:val="none" w:sz="0" w:space="0" w:color="auto"/>
          </w:divBdr>
        </w:div>
        <w:div w:id="642388288">
          <w:marLeft w:val="0"/>
          <w:marRight w:val="0"/>
          <w:marTop w:val="0"/>
          <w:marBottom w:val="0"/>
          <w:divBdr>
            <w:top w:val="none" w:sz="0" w:space="0" w:color="auto"/>
            <w:left w:val="none" w:sz="0" w:space="0" w:color="auto"/>
            <w:bottom w:val="none" w:sz="0" w:space="0" w:color="auto"/>
            <w:right w:val="none" w:sz="0" w:space="0" w:color="auto"/>
          </w:divBdr>
          <w:divsChild>
            <w:div w:id="51471711">
              <w:marLeft w:val="0"/>
              <w:marRight w:val="0"/>
              <w:marTop w:val="0"/>
              <w:marBottom w:val="0"/>
              <w:divBdr>
                <w:top w:val="none" w:sz="0" w:space="0" w:color="auto"/>
                <w:left w:val="none" w:sz="0" w:space="0" w:color="auto"/>
                <w:bottom w:val="none" w:sz="0" w:space="0" w:color="auto"/>
                <w:right w:val="none" w:sz="0" w:space="0" w:color="auto"/>
              </w:divBdr>
              <w:divsChild>
                <w:div w:id="16275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56562">
      <w:bodyDiv w:val="1"/>
      <w:marLeft w:val="0"/>
      <w:marRight w:val="0"/>
      <w:marTop w:val="0"/>
      <w:marBottom w:val="0"/>
      <w:divBdr>
        <w:top w:val="none" w:sz="0" w:space="0" w:color="auto"/>
        <w:left w:val="none" w:sz="0" w:space="0" w:color="auto"/>
        <w:bottom w:val="none" w:sz="0" w:space="0" w:color="auto"/>
        <w:right w:val="none" w:sz="0" w:space="0" w:color="auto"/>
      </w:divBdr>
      <w:divsChild>
        <w:div w:id="1312633012">
          <w:marLeft w:val="0"/>
          <w:marRight w:val="0"/>
          <w:marTop w:val="100"/>
          <w:marBottom w:val="0"/>
          <w:divBdr>
            <w:top w:val="none" w:sz="0" w:space="0" w:color="auto"/>
            <w:left w:val="none" w:sz="0" w:space="0" w:color="auto"/>
            <w:bottom w:val="none" w:sz="0" w:space="0" w:color="auto"/>
            <w:right w:val="none" w:sz="0" w:space="0" w:color="auto"/>
          </w:divBdr>
        </w:div>
        <w:div w:id="2057659121">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19906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1643">
      <w:bodyDiv w:val="1"/>
      <w:marLeft w:val="0"/>
      <w:marRight w:val="0"/>
      <w:marTop w:val="0"/>
      <w:marBottom w:val="0"/>
      <w:divBdr>
        <w:top w:val="none" w:sz="0" w:space="0" w:color="auto"/>
        <w:left w:val="none" w:sz="0" w:space="0" w:color="auto"/>
        <w:bottom w:val="none" w:sz="0" w:space="0" w:color="auto"/>
        <w:right w:val="none" w:sz="0" w:space="0" w:color="auto"/>
      </w:divBdr>
      <w:divsChild>
        <w:div w:id="897015532">
          <w:marLeft w:val="0"/>
          <w:marRight w:val="0"/>
          <w:marTop w:val="100"/>
          <w:marBottom w:val="0"/>
          <w:divBdr>
            <w:top w:val="none" w:sz="0" w:space="0" w:color="auto"/>
            <w:left w:val="none" w:sz="0" w:space="0" w:color="auto"/>
            <w:bottom w:val="none" w:sz="0" w:space="0" w:color="auto"/>
            <w:right w:val="none" w:sz="0" w:space="0" w:color="auto"/>
          </w:divBdr>
        </w:div>
        <w:div w:id="1261835084">
          <w:marLeft w:val="0"/>
          <w:marRight w:val="0"/>
          <w:marTop w:val="0"/>
          <w:marBottom w:val="0"/>
          <w:divBdr>
            <w:top w:val="none" w:sz="0" w:space="0" w:color="auto"/>
            <w:left w:val="none" w:sz="0" w:space="0" w:color="auto"/>
            <w:bottom w:val="none" w:sz="0" w:space="0" w:color="auto"/>
            <w:right w:val="none" w:sz="0" w:space="0" w:color="auto"/>
          </w:divBdr>
          <w:divsChild>
            <w:div w:id="1664745637">
              <w:marLeft w:val="0"/>
              <w:marRight w:val="0"/>
              <w:marTop w:val="0"/>
              <w:marBottom w:val="0"/>
              <w:divBdr>
                <w:top w:val="none" w:sz="0" w:space="0" w:color="auto"/>
                <w:left w:val="none" w:sz="0" w:space="0" w:color="auto"/>
                <w:bottom w:val="none" w:sz="0" w:space="0" w:color="auto"/>
                <w:right w:val="none" w:sz="0" w:space="0" w:color="auto"/>
              </w:divBdr>
              <w:divsChild>
                <w:div w:id="4166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6433">
      <w:marLeft w:val="0"/>
      <w:marRight w:val="0"/>
      <w:marTop w:val="0"/>
      <w:marBottom w:val="0"/>
      <w:divBdr>
        <w:top w:val="none" w:sz="0" w:space="0" w:color="auto"/>
        <w:left w:val="none" w:sz="0" w:space="0" w:color="auto"/>
        <w:bottom w:val="none" w:sz="0" w:space="0" w:color="auto"/>
        <w:right w:val="none" w:sz="0" w:space="0" w:color="auto"/>
      </w:divBdr>
    </w:div>
    <w:div w:id="2003392789">
      <w:bodyDiv w:val="1"/>
      <w:marLeft w:val="0"/>
      <w:marRight w:val="0"/>
      <w:marTop w:val="0"/>
      <w:marBottom w:val="0"/>
      <w:divBdr>
        <w:top w:val="none" w:sz="0" w:space="0" w:color="auto"/>
        <w:left w:val="none" w:sz="0" w:space="0" w:color="auto"/>
        <w:bottom w:val="none" w:sz="0" w:space="0" w:color="auto"/>
        <w:right w:val="none" w:sz="0" w:space="0" w:color="auto"/>
      </w:divBdr>
      <w:divsChild>
        <w:div w:id="1279333590">
          <w:marLeft w:val="0"/>
          <w:marRight w:val="0"/>
          <w:marTop w:val="100"/>
          <w:marBottom w:val="0"/>
          <w:divBdr>
            <w:top w:val="none" w:sz="0" w:space="0" w:color="auto"/>
            <w:left w:val="none" w:sz="0" w:space="0" w:color="auto"/>
            <w:bottom w:val="none" w:sz="0" w:space="0" w:color="auto"/>
            <w:right w:val="none" w:sz="0" w:space="0" w:color="auto"/>
          </w:divBdr>
        </w:div>
        <w:div w:id="1186094737">
          <w:marLeft w:val="0"/>
          <w:marRight w:val="0"/>
          <w:marTop w:val="0"/>
          <w:marBottom w:val="0"/>
          <w:divBdr>
            <w:top w:val="none" w:sz="0" w:space="0" w:color="auto"/>
            <w:left w:val="none" w:sz="0" w:space="0" w:color="auto"/>
            <w:bottom w:val="none" w:sz="0" w:space="0" w:color="auto"/>
            <w:right w:val="none" w:sz="0" w:space="0" w:color="auto"/>
          </w:divBdr>
          <w:divsChild>
            <w:div w:id="661618222">
              <w:marLeft w:val="0"/>
              <w:marRight w:val="0"/>
              <w:marTop w:val="0"/>
              <w:marBottom w:val="0"/>
              <w:divBdr>
                <w:top w:val="none" w:sz="0" w:space="0" w:color="auto"/>
                <w:left w:val="none" w:sz="0" w:space="0" w:color="auto"/>
                <w:bottom w:val="none" w:sz="0" w:space="0" w:color="auto"/>
                <w:right w:val="none" w:sz="0" w:space="0" w:color="auto"/>
              </w:divBdr>
              <w:divsChild>
                <w:div w:id="16551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Judete\Prognoza%20de%20toamna%202021\IPI%20si%20ICA%20din%20bslj%20nr%209%202020%20si%202021%20RECUPERARE%20dupa%20pandem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udete\Prognoza%20de%20toamna%202021\Nivel%20de%20tr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strRef>
              <c:f>'IPI si ICA'!$I$3</c:f>
              <c:strCache>
                <c:ptCount val="1"/>
                <c:pt idx="0">
                  <c:v>IPI 2021</c:v>
                </c:pt>
              </c:strCache>
            </c:strRef>
          </c:tx>
          <c:spPr>
            <a:ln w="28575">
              <a:noFill/>
            </a:ln>
          </c:spPr>
          <c:dPt>
            <c:idx val="42"/>
            <c:marker>
              <c:spPr>
                <a:solidFill>
                  <a:srgbClr val="FF0000"/>
                </a:solidFill>
              </c:spPr>
            </c:marker>
          </c:dPt>
          <c:dLbls>
            <c:dLbl>
              <c:idx val="0"/>
              <c:layout>
                <c:manualLayout>
                  <c:x val="-1.1396009691693142E-2"/>
                  <c:y val="1.060304616332532E-2"/>
                </c:manualLayout>
              </c:layout>
              <c:tx>
                <c:rich>
                  <a:bodyPr/>
                  <a:lstStyle/>
                  <a:p>
                    <a:r>
                      <a:rPr lang="en-US" sz="700"/>
                      <a:t>AB</a:t>
                    </a:r>
                  </a:p>
                </c:rich>
              </c:tx>
              <c:showVal val="1"/>
            </c:dLbl>
            <c:dLbl>
              <c:idx val="1"/>
              <c:tx>
                <c:rich>
                  <a:bodyPr/>
                  <a:lstStyle/>
                  <a:p>
                    <a:r>
                      <a:rPr lang="en-US" sz="700"/>
                      <a:t>AR</a:t>
                    </a:r>
                  </a:p>
                </c:rich>
              </c:tx>
              <c:showVal val="1"/>
            </c:dLbl>
            <c:dLbl>
              <c:idx val="2"/>
              <c:tx>
                <c:rich>
                  <a:bodyPr/>
                  <a:lstStyle/>
                  <a:p>
                    <a:r>
                      <a:rPr lang="en-US" sz="700"/>
                      <a:t>AG</a:t>
                    </a:r>
                  </a:p>
                </c:rich>
              </c:tx>
              <c:showVal val="1"/>
            </c:dLbl>
            <c:dLbl>
              <c:idx val="3"/>
              <c:tx>
                <c:rich>
                  <a:bodyPr/>
                  <a:lstStyle/>
                  <a:p>
                    <a:r>
                      <a:rPr lang="en-US" sz="700"/>
                      <a:t>BC</a:t>
                    </a:r>
                  </a:p>
                </c:rich>
              </c:tx>
              <c:showVal val="1"/>
            </c:dLbl>
            <c:dLbl>
              <c:idx val="4"/>
              <c:layout>
                <c:manualLayout>
                  <c:x val="-5.6980048458465373E-3"/>
                  <c:y val="4.8596733521629791E-17"/>
                </c:manualLayout>
              </c:layout>
              <c:tx>
                <c:rich>
                  <a:bodyPr/>
                  <a:lstStyle/>
                  <a:p>
                    <a:r>
                      <a:rPr lang="en-US" sz="700"/>
                      <a:t>BH</a:t>
                    </a:r>
                  </a:p>
                </c:rich>
              </c:tx>
              <c:showVal val="1"/>
            </c:dLbl>
            <c:dLbl>
              <c:idx val="5"/>
              <c:layout>
                <c:manualLayout>
                  <c:x val="-5.6980048458465373E-3"/>
                  <c:y val="0"/>
                </c:manualLayout>
              </c:layout>
              <c:tx>
                <c:rich>
                  <a:bodyPr/>
                  <a:lstStyle/>
                  <a:p>
                    <a:r>
                      <a:rPr lang="en-US" sz="700"/>
                      <a:t>BN</a:t>
                    </a:r>
                  </a:p>
                </c:rich>
              </c:tx>
              <c:showVal val="1"/>
            </c:dLbl>
            <c:dLbl>
              <c:idx val="6"/>
              <c:tx>
                <c:rich>
                  <a:bodyPr/>
                  <a:lstStyle/>
                  <a:p>
                    <a:r>
                      <a:rPr lang="en-US" sz="700"/>
                      <a:t>BT</a:t>
                    </a:r>
                  </a:p>
                </c:rich>
              </c:tx>
              <c:showVal val="1"/>
            </c:dLbl>
            <c:dLbl>
              <c:idx val="7"/>
              <c:layout>
                <c:manualLayout>
                  <c:x val="-5.6980048458465373E-3"/>
                  <c:y val="-1.060304616332532E-2"/>
                </c:manualLayout>
              </c:layout>
              <c:tx>
                <c:rich>
                  <a:bodyPr/>
                  <a:lstStyle/>
                  <a:p>
                    <a:r>
                      <a:rPr lang="en-US" sz="700"/>
                      <a:t>BR</a:t>
                    </a:r>
                  </a:p>
                </c:rich>
              </c:tx>
              <c:showVal val="1"/>
            </c:dLbl>
            <c:dLbl>
              <c:idx val="8"/>
              <c:layout>
                <c:manualLayout>
                  <c:x val="-7.5973397944621062E-3"/>
                  <c:y val="-2.6507615408313634E-3"/>
                </c:manualLayout>
              </c:layout>
              <c:tx>
                <c:rich>
                  <a:bodyPr/>
                  <a:lstStyle/>
                  <a:p>
                    <a:r>
                      <a:rPr lang="en-US" sz="700"/>
                      <a:t>BV</a:t>
                    </a:r>
                  </a:p>
                </c:rich>
              </c:tx>
              <c:showVal val="1"/>
            </c:dLbl>
            <c:dLbl>
              <c:idx val="9"/>
              <c:tx>
                <c:rich>
                  <a:bodyPr/>
                  <a:lstStyle/>
                  <a:p>
                    <a:r>
                      <a:rPr lang="en-US" sz="700"/>
                      <a:t>B</a:t>
                    </a:r>
                  </a:p>
                </c:rich>
              </c:tx>
              <c:showVal val="1"/>
            </c:dLbl>
            <c:dLbl>
              <c:idx val="10"/>
              <c:tx>
                <c:rich>
                  <a:bodyPr/>
                  <a:lstStyle/>
                  <a:p>
                    <a:r>
                      <a:rPr lang="en-US" sz="700"/>
                      <a:t>BZ</a:t>
                    </a:r>
                  </a:p>
                </c:rich>
              </c:tx>
              <c:showVal val="1"/>
            </c:dLbl>
            <c:dLbl>
              <c:idx val="11"/>
              <c:tx>
                <c:rich>
                  <a:bodyPr/>
                  <a:lstStyle/>
                  <a:p>
                    <a:r>
                      <a:rPr lang="en-US" sz="700"/>
                      <a:t>CL</a:t>
                    </a:r>
                  </a:p>
                </c:rich>
              </c:tx>
              <c:showVal val="1"/>
            </c:dLbl>
            <c:dLbl>
              <c:idx val="12"/>
              <c:tx>
                <c:rich>
                  <a:bodyPr/>
                  <a:lstStyle/>
                  <a:p>
                    <a:r>
                      <a:rPr lang="en-US" sz="700"/>
                      <a:t>CS</a:t>
                    </a:r>
                  </a:p>
                </c:rich>
              </c:tx>
              <c:showVal val="1"/>
            </c:dLbl>
            <c:dLbl>
              <c:idx val="13"/>
              <c:tx>
                <c:rich>
                  <a:bodyPr/>
                  <a:lstStyle/>
                  <a:p>
                    <a:r>
                      <a:rPr lang="en-US" sz="700"/>
                      <a:t>CJ</a:t>
                    </a:r>
                  </a:p>
                </c:rich>
              </c:tx>
              <c:showVal val="1"/>
            </c:dLbl>
            <c:dLbl>
              <c:idx val="14"/>
              <c:tx>
                <c:rich>
                  <a:bodyPr/>
                  <a:lstStyle/>
                  <a:p>
                    <a:r>
                      <a:rPr lang="en-US" sz="700"/>
                      <a:t>CT</a:t>
                    </a:r>
                  </a:p>
                </c:rich>
              </c:tx>
              <c:showVal val="1"/>
            </c:dLbl>
            <c:dLbl>
              <c:idx val="15"/>
              <c:tx>
                <c:rich>
                  <a:bodyPr/>
                  <a:lstStyle/>
                  <a:p>
                    <a:r>
                      <a:rPr lang="en-US" sz="700"/>
                      <a:t>CV</a:t>
                    </a:r>
                  </a:p>
                </c:rich>
              </c:tx>
              <c:showVal val="1"/>
            </c:dLbl>
            <c:dLbl>
              <c:idx val="16"/>
              <c:tx>
                <c:rich>
                  <a:bodyPr/>
                  <a:lstStyle/>
                  <a:p>
                    <a:r>
                      <a:rPr lang="en-US" sz="700"/>
                      <a:t>DB</a:t>
                    </a:r>
                  </a:p>
                </c:rich>
              </c:tx>
              <c:showVal val="1"/>
            </c:dLbl>
            <c:dLbl>
              <c:idx val="17"/>
              <c:tx>
                <c:rich>
                  <a:bodyPr/>
                  <a:lstStyle/>
                  <a:p>
                    <a:r>
                      <a:rPr lang="en-US" sz="700"/>
                      <a:t>DJ</a:t>
                    </a:r>
                  </a:p>
                </c:rich>
              </c:tx>
              <c:showVal val="1"/>
            </c:dLbl>
            <c:dLbl>
              <c:idx val="18"/>
              <c:layout>
                <c:manualLayout>
                  <c:x val="-7.5973397944621062E-3"/>
                  <c:y val="1.3253807704156661E-2"/>
                </c:manualLayout>
              </c:layout>
              <c:tx>
                <c:rich>
                  <a:bodyPr/>
                  <a:lstStyle/>
                  <a:p>
                    <a:r>
                      <a:rPr lang="en-US" sz="700"/>
                      <a:t>GL</a:t>
                    </a:r>
                  </a:p>
                </c:rich>
              </c:tx>
              <c:showVal val="1"/>
            </c:dLbl>
            <c:dLbl>
              <c:idx val="19"/>
              <c:layout>
                <c:manualLayout>
                  <c:x val="-9.4966747430775596E-3"/>
                  <c:y val="1.8555330785819418E-2"/>
                </c:manualLayout>
              </c:layout>
              <c:tx>
                <c:rich>
                  <a:bodyPr/>
                  <a:lstStyle/>
                  <a:p>
                    <a:r>
                      <a:rPr lang="en-US" sz="700"/>
                      <a:t>GR</a:t>
                    </a:r>
                  </a:p>
                </c:rich>
              </c:tx>
              <c:showVal val="1"/>
            </c:dLbl>
            <c:dLbl>
              <c:idx val="20"/>
              <c:tx>
                <c:rich>
                  <a:bodyPr/>
                  <a:lstStyle/>
                  <a:p>
                    <a:r>
                      <a:rPr lang="en-US" sz="700"/>
                      <a:t>GJ</a:t>
                    </a:r>
                  </a:p>
                </c:rich>
              </c:tx>
              <c:showVal val="1"/>
            </c:dLbl>
            <c:dLbl>
              <c:idx val="21"/>
              <c:layout>
                <c:manualLayout>
                  <c:x val="-2.1928644528397382E-2"/>
                  <c:y val="-1.5904569244988169E-2"/>
                </c:manualLayout>
              </c:layout>
              <c:tx>
                <c:rich>
                  <a:bodyPr/>
                  <a:lstStyle/>
                  <a:p>
                    <a:r>
                      <a:rPr lang="en-US" sz="700"/>
                      <a:t>HR</a:t>
                    </a:r>
                  </a:p>
                </c:rich>
              </c:tx>
              <c:showVal val="1"/>
            </c:dLbl>
            <c:dLbl>
              <c:idx val="22"/>
              <c:tx>
                <c:rich>
                  <a:bodyPr/>
                  <a:lstStyle/>
                  <a:p>
                    <a:r>
                      <a:rPr lang="en-US" sz="700"/>
                      <a:t>HD</a:t>
                    </a:r>
                  </a:p>
                </c:rich>
              </c:tx>
              <c:showVal val="1"/>
            </c:dLbl>
            <c:dLbl>
              <c:idx val="23"/>
              <c:tx>
                <c:rich>
                  <a:bodyPr/>
                  <a:lstStyle/>
                  <a:p>
                    <a:r>
                      <a:rPr lang="en-US" sz="700"/>
                      <a:t>IL</a:t>
                    </a:r>
                  </a:p>
                </c:rich>
              </c:tx>
              <c:showVal val="1"/>
            </c:dLbl>
            <c:dLbl>
              <c:idx val="24"/>
              <c:layout>
                <c:manualLayout>
                  <c:x val="-5.6980048458465373E-3"/>
                  <c:y val="7.9522846224940082E-3"/>
                </c:manualLayout>
              </c:layout>
              <c:tx>
                <c:rich>
                  <a:bodyPr/>
                  <a:lstStyle/>
                  <a:p>
                    <a:r>
                      <a:rPr lang="en-US" sz="700"/>
                      <a:t>IS</a:t>
                    </a:r>
                  </a:p>
                </c:rich>
              </c:tx>
              <c:showVal val="1"/>
            </c:dLbl>
            <c:dLbl>
              <c:idx val="25"/>
              <c:tx>
                <c:rich>
                  <a:bodyPr/>
                  <a:lstStyle/>
                  <a:p>
                    <a:r>
                      <a:rPr lang="en-US" sz="700"/>
                      <a:t>IF</a:t>
                    </a:r>
                  </a:p>
                </c:rich>
              </c:tx>
              <c:showVal val="1"/>
            </c:dLbl>
            <c:dLbl>
              <c:idx val="26"/>
              <c:layout>
                <c:manualLayout>
                  <c:x val="-2.0892684434770631E-2"/>
                  <c:y val="-1.855533078581937E-2"/>
                </c:manualLayout>
              </c:layout>
              <c:tx>
                <c:rich>
                  <a:bodyPr/>
                  <a:lstStyle/>
                  <a:p>
                    <a:r>
                      <a:rPr lang="en-US" sz="700"/>
                      <a:t>MM</a:t>
                    </a:r>
                  </a:p>
                </c:rich>
              </c:tx>
              <c:showVal val="1"/>
            </c:dLbl>
            <c:dLbl>
              <c:idx val="27"/>
              <c:tx>
                <c:rich>
                  <a:bodyPr/>
                  <a:lstStyle/>
                  <a:p>
                    <a:r>
                      <a:rPr lang="en-US" sz="700"/>
                      <a:t>MH</a:t>
                    </a:r>
                  </a:p>
                </c:rich>
              </c:tx>
              <c:showVal val="1"/>
            </c:dLbl>
            <c:dLbl>
              <c:idx val="28"/>
              <c:tx>
                <c:rich>
                  <a:bodyPr/>
                  <a:lstStyle/>
                  <a:p>
                    <a:r>
                      <a:rPr lang="en-US" sz="700"/>
                      <a:t>MS</a:t>
                    </a:r>
                  </a:p>
                </c:rich>
              </c:tx>
              <c:showVal val="1"/>
            </c:dLbl>
            <c:dLbl>
              <c:idx val="29"/>
              <c:layout>
                <c:manualLayout>
                  <c:x val="-5.6980048458465373E-3"/>
                  <c:y val="0"/>
                </c:manualLayout>
              </c:layout>
              <c:tx>
                <c:rich>
                  <a:bodyPr/>
                  <a:lstStyle/>
                  <a:p>
                    <a:r>
                      <a:rPr lang="en-US" sz="700"/>
                      <a:t>NT</a:t>
                    </a:r>
                  </a:p>
                </c:rich>
              </c:tx>
              <c:showVal val="1"/>
            </c:dLbl>
            <c:dLbl>
              <c:idx val="30"/>
              <c:layout>
                <c:manualLayout>
                  <c:x val="-9.4966747430775596E-3"/>
                  <c:y val="7.9522846224940082E-3"/>
                </c:manualLayout>
              </c:layout>
              <c:tx>
                <c:rich>
                  <a:bodyPr/>
                  <a:lstStyle/>
                  <a:p>
                    <a:r>
                      <a:rPr lang="en-US" sz="700"/>
                      <a:t>OT</a:t>
                    </a:r>
                  </a:p>
                </c:rich>
              </c:tx>
              <c:showVal val="1"/>
            </c:dLbl>
            <c:dLbl>
              <c:idx val="31"/>
              <c:tx>
                <c:rich>
                  <a:bodyPr/>
                  <a:lstStyle/>
                  <a:p>
                    <a:r>
                      <a:rPr lang="en-US" sz="700"/>
                      <a:t>PH</a:t>
                    </a:r>
                  </a:p>
                </c:rich>
              </c:tx>
              <c:showVal val="1"/>
            </c:dLbl>
            <c:dLbl>
              <c:idx val="32"/>
              <c:layout>
                <c:manualLayout>
                  <c:x val="-9.4966747430775024E-3"/>
                  <c:y val="0"/>
                </c:manualLayout>
              </c:layout>
              <c:tx>
                <c:rich>
                  <a:bodyPr/>
                  <a:lstStyle/>
                  <a:p>
                    <a:r>
                      <a:rPr lang="en-US" sz="700"/>
                      <a:t>SJ</a:t>
                    </a:r>
                  </a:p>
                </c:rich>
              </c:tx>
              <c:showVal val="1"/>
            </c:dLbl>
            <c:dLbl>
              <c:idx val="33"/>
              <c:tx>
                <c:rich>
                  <a:bodyPr/>
                  <a:lstStyle/>
                  <a:p>
                    <a:r>
                      <a:rPr lang="en-US" sz="700"/>
                      <a:t>SM</a:t>
                    </a:r>
                  </a:p>
                </c:rich>
              </c:tx>
              <c:showVal val="1"/>
            </c:dLbl>
            <c:dLbl>
              <c:idx val="34"/>
              <c:layout>
                <c:manualLayout>
                  <c:x val="-7.5973397944621062E-3"/>
                  <c:y val="2.6507615408313634E-3"/>
                </c:manualLayout>
              </c:layout>
              <c:tx>
                <c:rich>
                  <a:bodyPr/>
                  <a:lstStyle/>
                  <a:p>
                    <a:r>
                      <a:rPr lang="en-US" sz="700"/>
                      <a:t>SB</a:t>
                    </a:r>
                  </a:p>
                </c:rich>
              </c:tx>
              <c:showVal val="1"/>
            </c:dLbl>
            <c:dLbl>
              <c:idx val="35"/>
              <c:layout>
                <c:manualLayout>
                  <c:x val="-9.4966747430776568E-3"/>
                  <c:y val="-2.6507615408313634E-3"/>
                </c:manualLayout>
              </c:layout>
              <c:tx>
                <c:rich>
                  <a:bodyPr/>
                  <a:lstStyle/>
                  <a:p>
                    <a:r>
                      <a:rPr lang="en-US" sz="700"/>
                      <a:t>SV</a:t>
                    </a:r>
                  </a:p>
                </c:rich>
              </c:tx>
              <c:showVal val="1"/>
            </c:dLbl>
            <c:dLbl>
              <c:idx val="36"/>
              <c:tx>
                <c:rich>
                  <a:bodyPr/>
                  <a:lstStyle/>
                  <a:p>
                    <a:r>
                      <a:rPr lang="en-US" sz="700"/>
                      <a:t>TR</a:t>
                    </a:r>
                  </a:p>
                </c:rich>
              </c:tx>
              <c:showVal val="1"/>
            </c:dLbl>
            <c:dLbl>
              <c:idx val="37"/>
              <c:tx>
                <c:rich>
                  <a:bodyPr/>
                  <a:lstStyle/>
                  <a:p>
                    <a:r>
                      <a:rPr lang="en-US" sz="700"/>
                      <a:t>TM</a:t>
                    </a:r>
                  </a:p>
                </c:rich>
              </c:tx>
              <c:showVal val="1"/>
            </c:dLbl>
            <c:dLbl>
              <c:idx val="38"/>
              <c:tx>
                <c:rich>
                  <a:bodyPr/>
                  <a:lstStyle/>
                  <a:p>
                    <a:r>
                      <a:rPr lang="en-US" sz="700"/>
                      <a:t>TL</a:t>
                    </a:r>
                  </a:p>
                </c:rich>
              </c:tx>
              <c:showVal val="1"/>
            </c:dLbl>
            <c:dLbl>
              <c:idx val="39"/>
              <c:layout>
                <c:manualLayout>
                  <c:x val="-1.1396009691693142E-2"/>
                  <c:y val="-1.060304616332532E-2"/>
                </c:manualLayout>
              </c:layout>
              <c:tx>
                <c:rich>
                  <a:bodyPr/>
                  <a:lstStyle/>
                  <a:p>
                    <a:r>
                      <a:rPr lang="en-US" sz="700"/>
                      <a:t>VL</a:t>
                    </a:r>
                  </a:p>
                </c:rich>
              </c:tx>
              <c:showVal val="1"/>
            </c:dLbl>
            <c:dLbl>
              <c:idx val="40"/>
              <c:layout>
                <c:manualLayout>
                  <c:x val="-1.1396009691693142E-2"/>
                  <c:y val="-1.5904569244988169E-2"/>
                </c:manualLayout>
              </c:layout>
              <c:tx>
                <c:rich>
                  <a:bodyPr/>
                  <a:lstStyle/>
                  <a:p>
                    <a:r>
                      <a:rPr lang="en-US" sz="700"/>
                      <a:t>VS</a:t>
                    </a:r>
                  </a:p>
                </c:rich>
              </c:tx>
              <c:showVal val="1"/>
            </c:dLbl>
            <c:dLbl>
              <c:idx val="41"/>
              <c:tx>
                <c:rich>
                  <a:bodyPr/>
                  <a:lstStyle/>
                  <a:p>
                    <a:r>
                      <a:rPr lang="en-US" sz="700"/>
                      <a:t>VN</a:t>
                    </a:r>
                  </a:p>
                </c:rich>
              </c:tx>
              <c:showVal val="1"/>
            </c:dLbl>
            <c:dLbl>
              <c:idx val="42"/>
              <c:layout>
                <c:manualLayout>
                  <c:x val="-4.4893378226712024E-3"/>
                  <c:y val="0"/>
                </c:manualLayout>
              </c:layout>
              <c:tx>
                <c:rich>
                  <a:bodyPr/>
                  <a:lstStyle/>
                  <a:p>
                    <a:pPr>
                      <a:defRPr sz="700">
                        <a:solidFill>
                          <a:srgbClr val="FF0000"/>
                        </a:solidFill>
                      </a:defRPr>
                    </a:pPr>
                    <a:r>
                      <a:rPr lang="en-US" sz="700">
                        <a:solidFill>
                          <a:srgbClr val="FF0000"/>
                        </a:solidFill>
                      </a:rPr>
                      <a:t>RO</a:t>
                    </a:r>
                  </a:p>
                </c:rich>
              </c:tx>
              <c:spPr/>
              <c:showVal val="1"/>
            </c:dLbl>
            <c:delete val="1"/>
          </c:dLbls>
          <c:xVal>
            <c:numRef>
              <c:f>'IPI si ICA'!$H$4:$H$46</c:f>
              <c:numCache>
                <c:formatCode>General</c:formatCode>
                <c:ptCount val="43"/>
                <c:pt idx="0">
                  <c:v>-8.7000000000000011</c:v>
                </c:pt>
                <c:pt idx="1">
                  <c:v>-22.299999999999986</c:v>
                </c:pt>
                <c:pt idx="2">
                  <c:v>-34.100000000000009</c:v>
                </c:pt>
                <c:pt idx="3">
                  <c:v>-9.3000000000000025</c:v>
                </c:pt>
                <c:pt idx="4">
                  <c:v>-16.5</c:v>
                </c:pt>
                <c:pt idx="5">
                  <c:v>-15</c:v>
                </c:pt>
                <c:pt idx="6">
                  <c:v>-27.799999999999986</c:v>
                </c:pt>
                <c:pt idx="7">
                  <c:v>-18.700000000000003</c:v>
                </c:pt>
                <c:pt idx="8">
                  <c:v>-13.900000000000006</c:v>
                </c:pt>
                <c:pt idx="9">
                  <c:v>-10.900000000000006</c:v>
                </c:pt>
                <c:pt idx="10">
                  <c:v>4.4000000000000083</c:v>
                </c:pt>
                <c:pt idx="11">
                  <c:v>-0.59999999999999454</c:v>
                </c:pt>
                <c:pt idx="12">
                  <c:v>-24</c:v>
                </c:pt>
                <c:pt idx="13">
                  <c:v>-0.90000000000000568</c:v>
                </c:pt>
                <c:pt idx="14">
                  <c:v>-17.299999999999986</c:v>
                </c:pt>
                <c:pt idx="15">
                  <c:v>-10.700000000000003</c:v>
                </c:pt>
                <c:pt idx="16">
                  <c:v>-32.400000000000006</c:v>
                </c:pt>
                <c:pt idx="17">
                  <c:v>-2.7999999999999972</c:v>
                </c:pt>
                <c:pt idx="18">
                  <c:v>-17.299999999999986</c:v>
                </c:pt>
                <c:pt idx="19">
                  <c:v>-17.299999999999986</c:v>
                </c:pt>
                <c:pt idx="20">
                  <c:v>-32.900000000000006</c:v>
                </c:pt>
                <c:pt idx="21">
                  <c:v>-10.3</c:v>
                </c:pt>
                <c:pt idx="22">
                  <c:v>-9.7000000000000011</c:v>
                </c:pt>
                <c:pt idx="23">
                  <c:v>28.300000000000011</c:v>
                </c:pt>
                <c:pt idx="24">
                  <c:v>-14.600000000000001</c:v>
                </c:pt>
                <c:pt idx="25">
                  <c:v>-6.4000000000000083</c:v>
                </c:pt>
                <c:pt idx="26">
                  <c:v>-10.100000000000001</c:v>
                </c:pt>
                <c:pt idx="27">
                  <c:v>-3.4000000000000057</c:v>
                </c:pt>
                <c:pt idx="28">
                  <c:v>1.599999999999989</c:v>
                </c:pt>
                <c:pt idx="29">
                  <c:v>-18.099999999999987</c:v>
                </c:pt>
                <c:pt idx="30">
                  <c:v>-16.599999999999987</c:v>
                </c:pt>
                <c:pt idx="31">
                  <c:v>-8.5</c:v>
                </c:pt>
                <c:pt idx="32">
                  <c:v>-2.0999999999999943</c:v>
                </c:pt>
                <c:pt idx="33">
                  <c:v>-13.5</c:v>
                </c:pt>
                <c:pt idx="34">
                  <c:v>-10.900000000000006</c:v>
                </c:pt>
                <c:pt idx="35">
                  <c:v>-9.7000000000000011</c:v>
                </c:pt>
                <c:pt idx="36">
                  <c:v>-38</c:v>
                </c:pt>
                <c:pt idx="37">
                  <c:v>-14.600000000000001</c:v>
                </c:pt>
                <c:pt idx="38">
                  <c:v>-18.099999999999987</c:v>
                </c:pt>
                <c:pt idx="39">
                  <c:v>-15.3</c:v>
                </c:pt>
                <c:pt idx="40">
                  <c:v>-17.299999999999986</c:v>
                </c:pt>
                <c:pt idx="41">
                  <c:v>-13.900000000000006</c:v>
                </c:pt>
                <c:pt idx="42">
                  <c:v>-12.100000000000001</c:v>
                </c:pt>
              </c:numCache>
            </c:numRef>
          </c:xVal>
          <c:yVal>
            <c:numRef>
              <c:f>'IPI si ICA'!$I$4:$I$46</c:f>
              <c:numCache>
                <c:formatCode>General</c:formatCode>
                <c:ptCount val="43"/>
                <c:pt idx="0">
                  <c:v>16.299999999999986</c:v>
                </c:pt>
                <c:pt idx="1">
                  <c:v>7.7999999999999972</c:v>
                </c:pt>
                <c:pt idx="2">
                  <c:v>10.8</c:v>
                </c:pt>
                <c:pt idx="3">
                  <c:v>12.900000000000006</c:v>
                </c:pt>
                <c:pt idx="4">
                  <c:v>19.5</c:v>
                </c:pt>
                <c:pt idx="5">
                  <c:v>17.200000000000003</c:v>
                </c:pt>
                <c:pt idx="6">
                  <c:v>-2</c:v>
                </c:pt>
                <c:pt idx="7">
                  <c:v>0.40000000000000568</c:v>
                </c:pt>
                <c:pt idx="8">
                  <c:v>24.299999999999986</c:v>
                </c:pt>
                <c:pt idx="9">
                  <c:v>6.5999999999999943</c:v>
                </c:pt>
                <c:pt idx="10">
                  <c:v>9.7000000000000011</c:v>
                </c:pt>
                <c:pt idx="11">
                  <c:v>4.2999999999999972</c:v>
                </c:pt>
                <c:pt idx="12">
                  <c:v>4.5</c:v>
                </c:pt>
                <c:pt idx="13">
                  <c:v>22.700000000000003</c:v>
                </c:pt>
                <c:pt idx="14">
                  <c:v>-1.9000000000000061</c:v>
                </c:pt>
                <c:pt idx="15">
                  <c:v>-2.0999999999999943</c:v>
                </c:pt>
                <c:pt idx="16">
                  <c:v>18.700000000000003</c:v>
                </c:pt>
                <c:pt idx="17">
                  <c:v>-3.2000000000000042</c:v>
                </c:pt>
                <c:pt idx="18">
                  <c:v>7.9000000000000083</c:v>
                </c:pt>
                <c:pt idx="19">
                  <c:v>22.900000000000006</c:v>
                </c:pt>
                <c:pt idx="20">
                  <c:v>24</c:v>
                </c:pt>
                <c:pt idx="21">
                  <c:v>0.59999999999999454</c:v>
                </c:pt>
                <c:pt idx="22">
                  <c:v>7.9000000000000083</c:v>
                </c:pt>
                <c:pt idx="23">
                  <c:v>-6.5</c:v>
                </c:pt>
                <c:pt idx="24">
                  <c:v>22.799999999999986</c:v>
                </c:pt>
                <c:pt idx="25">
                  <c:v>17</c:v>
                </c:pt>
                <c:pt idx="26">
                  <c:v>17.599999999999987</c:v>
                </c:pt>
                <c:pt idx="27">
                  <c:v>12.900000000000006</c:v>
                </c:pt>
                <c:pt idx="28">
                  <c:v>16.099999999999987</c:v>
                </c:pt>
                <c:pt idx="29">
                  <c:v>17.5</c:v>
                </c:pt>
                <c:pt idx="30">
                  <c:v>15.700000000000003</c:v>
                </c:pt>
                <c:pt idx="31">
                  <c:v>1.2000000000000028</c:v>
                </c:pt>
                <c:pt idx="32">
                  <c:v>16.099999999999987</c:v>
                </c:pt>
                <c:pt idx="33">
                  <c:v>14.100000000000001</c:v>
                </c:pt>
                <c:pt idx="34">
                  <c:v>24.299999999999986</c:v>
                </c:pt>
                <c:pt idx="35">
                  <c:v>17.200000000000003</c:v>
                </c:pt>
                <c:pt idx="36">
                  <c:v>-6</c:v>
                </c:pt>
                <c:pt idx="37">
                  <c:v>9.1000000000000014</c:v>
                </c:pt>
                <c:pt idx="38">
                  <c:v>44.900000000000006</c:v>
                </c:pt>
                <c:pt idx="39">
                  <c:v>25</c:v>
                </c:pt>
                <c:pt idx="40">
                  <c:v>8.6000000000000014</c:v>
                </c:pt>
                <c:pt idx="41">
                  <c:v>3.5</c:v>
                </c:pt>
                <c:pt idx="42">
                  <c:v>10.5</c:v>
                </c:pt>
              </c:numCache>
            </c:numRef>
          </c:yVal>
        </c:ser>
        <c:axId val="114157824"/>
        <c:axId val="114483584"/>
      </c:scatterChart>
      <c:valAx>
        <c:axId val="114157824"/>
        <c:scaling>
          <c:orientation val="minMax"/>
          <c:max val="32"/>
          <c:min val="-42"/>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t>( 9 months 2020/9 months 2019 -%)</a:t>
                </a:r>
                <a:endParaRPr lang="en-US" sz="1000"/>
              </a:p>
            </c:rich>
          </c:tx>
        </c:title>
        <c:numFmt formatCode="General" sourceLinked="1"/>
        <c:tickLblPos val="low"/>
        <c:txPr>
          <a:bodyPr/>
          <a:lstStyle/>
          <a:p>
            <a:pPr>
              <a:defRPr sz="900" b="1"/>
            </a:pPr>
            <a:endParaRPr lang="en-US"/>
          </a:p>
        </c:txPr>
        <c:crossAx val="114483584"/>
        <c:crosses val="autoZero"/>
        <c:crossBetween val="midCat"/>
      </c:valAx>
      <c:valAx>
        <c:axId val="114483584"/>
        <c:scaling>
          <c:orientation val="minMax"/>
        </c:scaling>
        <c:axPos val="l"/>
        <c:title>
          <c:tx>
            <c:rich>
              <a:bodyPr rot="-5400000" vert="horz"/>
              <a:lstStyle/>
              <a:p>
                <a:pPr>
                  <a:defRPr/>
                </a:pPr>
                <a:r>
                  <a:rPr lang="en-US" sz="1000" b="1" i="0" u="none" strike="noStrike" baseline="0"/>
                  <a:t>(9 months 2021/9 months 2020 -%)</a:t>
                </a:r>
                <a:endParaRPr lang="en-US"/>
              </a:p>
            </c:rich>
          </c:tx>
        </c:title>
        <c:numFmt formatCode="General" sourceLinked="1"/>
        <c:tickLblPos val="low"/>
        <c:txPr>
          <a:bodyPr/>
          <a:lstStyle/>
          <a:p>
            <a:pPr>
              <a:defRPr sz="900" b="1"/>
            </a:pPr>
            <a:endParaRPr lang="en-US"/>
          </a:p>
        </c:txPr>
        <c:crossAx val="114157824"/>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900" baseline="0"/>
              <a:t>Alleviation of the poverty risk and GDP/capita gap compared to the EU average</a:t>
            </a:r>
          </a:p>
        </c:rich>
      </c:tx>
    </c:title>
    <c:plotArea>
      <c:layout/>
      <c:scatterChart>
        <c:scatterStyle val="lineMarker"/>
        <c:ser>
          <c:idx val="0"/>
          <c:order val="0"/>
          <c:tx>
            <c:strRef>
              <c:f>TEMPO_SAR102D_21_12_2021!$R$35</c:f>
              <c:strCache>
                <c:ptCount val="1"/>
                <c:pt idx="0">
                  <c:v>AROPE</c:v>
                </c:pt>
              </c:strCache>
            </c:strRef>
          </c:tx>
          <c:spPr>
            <a:ln w="28575">
              <a:noFill/>
            </a:ln>
          </c:spPr>
          <c:dLbls>
            <c:dLbl>
              <c:idx val="0"/>
              <c:tx>
                <c:rich>
                  <a:bodyPr/>
                  <a:lstStyle/>
                  <a:p>
                    <a:r>
                      <a:rPr lang="en-US"/>
                      <a:t>NV</a:t>
                    </a:r>
                  </a:p>
                </c:rich>
              </c:tx>
              <c:showVal val="1"/>
            </c:dLbl>
            <c:dLbl>
              <c:idx val="1"/>
              <c:tx>
                <c:rich>
                  <a:bodyPr/>
                  <a:lstStyle/>
                  <a:p>
                    <a:r>
                      <a:rPr lang="en-US"/>
                      <a:t>C</a:t>
                    </a:r>
                  </a:p>
                </c:rich>
              </c:tx>
              <c:showVal val="1"/>
            </c:dLbl>
            <c:dLbl>
              <c:idx val="2"/>
              <c:tx>
                <c:rich>
                  <a:bodyPr/>
                  <a:lstStyle/>
                  <a:p>
                    <a:r>
                      <a:rPr lang="en-US"/>
                      <a:t>NE</a:t>
                    </a:r>
                  </a:p>
                </c:rich>
              </c:tx>
              <c:showVal val="1"/>
            </c:dLbl>
            <c:dLbl>
              <c:idx val="3"/>
              <c:tx>
                <c:rich>
                  <a:bodyPr/>
                  <a:lstStyle/>
                  <a:p>
                    <a:r>
                      <a:rPr lang="en-US"/>
                      <a:t>SE</a:t>
                    </a:r>
                  </a:p>
                </c:rich>
              </c:tx>
              <c:showVal val="1"/>
            </c:dLbl>
            <c:dLbl>
              <c:idx val="4"/>
              <c:tx>
                <c:rich>
                  <a:bodyPr/>
                  <a:lstStyle/>
                  <a:p>
                    <a:r>
                      <a:rPr lang="en-US"/>
                      <a:t>S </a:t>
                    </a:r>
                  </a:p>
                </c:rich>
              </c:tx>
              <c:showVal val="1"/>
            </c:dLbl>
            <c:dLbl>
              <c:idx val="5"/>
              <c:tx>
                <c:rich>
                  <a:bodyPr/>
                  <a:lstStyle/>
                  <a:p>
                    <a:r>
                      <a:rPr lang="en-US"/>
                      <a:t>BI</a:t>
                    </a:r>
                  </a:p>
                </c:rich>
              </c:tx>
              <c:showVal val="1"/>
            </c:dLbl>
            <c:dLbl>
              <c:idx val="6"/>
              <c:tx>
                <c:rich>
                  <a:bodyPr/>
                  <a:lstStyle/>
                  <a:p>
                    <a:r>
                      <a:rPr lang="en-US"/>
                      <a:t>SV</a:t>
                    </a:r>
                  </a:p>
                </c:rich>
              </c:tx>
              <c:showVal val="1"/>
            </c:dLbl>
            <c:dLbl>
              <c:idx val="7"/>
              <c:tx>
                <c:rich>
                  <a:bodyPr/>
                  <a:lstStyle/>
                  <a:p>
                    <a:r>
                      <a:rPr lang="en-US"/>
                      <a:t>V</a:t>
                    </a:r>
                  </a:p>
                </c:rich>
              </c:tx>
              <c:showVal val="1"/>
            </c:dLbl>
            <c:delete val="1"/>
          </c:dLbls>
          <c:trendline>
            <c:trendlineType val="linear"/>
            <c:dispEq val="1"/>
            <c:trendlineLbl>
              <c:layout>
                <c:manualLayout>
                  <c:x val="5.1003680915176888E-2"/>
                  <c:y val="0.23570487744848348"/>
                </c:manualLayout>
              </c:layout>
              <c:numFmt formatCode="General" sourceLinked="0"/>
            </c:trendlineLbl>
          </c:trendline>
          <c:xVal>
            <c:numRef>
              <c:f>TEMPO_SAR102D_21_12_2021!$Q$52:$Q$59</c:f>
              <c:numCache>
                <c:formatCode>#,##0</c:formatCode>
                <c:ptCount val="8"/>
                <c:pt idx="0">
                  <c:v>64</c:v>
                </c:pt>
                <c:pt idx="1">
                  <c:v>66</c:v>
                </c:pt>
                <c:pt idx="2">
                  <c:v>44</c:v>
                </c:pt>
                <c:pt idx="3">
                  <c:v>58</c:v>
                </c:pt>
                <c:pt idx="4">
                  <c:v>54</c:v>
                </c:pt>
                <c:pt idx="6">
                  <c:v>54</c:v>
                </c:pt>
                <c:pt idx="7">
                  <c:v>71</c:v>
                </c:pt>
              </c:numCache>
            </c:numRef>
          </c:xVal>
          <c:yVal>
            <c:numRef>
              <c:f>TEMPO_SAR102D_21_12_2021!$R$52:$R$59</c:f>
              <c:numCache>
                <c:formatCode>0.0</c:formatCode>
                <c:ptCount val="8"/>
                <c:pt idx="0">
                  <c:v>12.8</c:v>
                </c:pt>
                <c:pt idx="1">
                  <c:v>6.9</c:v>
                </c:pt>
                <c:pt idx="2">
                  <c:v>5.3</c:v>
                </c:pt>
                <c:pt idx="3">
                  <c:v>11.6</c:v>
                </c:pt>
                <c:pt idx="4">
                  <c:v>6.3</c:v>
                </c:pt>
                <c:pt idx="6">
                  <c:v>8.6</c:v>
                </c:pt>
                <c:pt idx="7">
                  <c:v>14.3</c:v>
                </c:pt>
              </c:numCache>
            </c:numRef>
          </c:yVal>
        </c:ser>
        <c:axId val="122159488"/>
        <c:axId val="122161408"/>
      </c:scatterChart>
      <c:valAx>
        <c:axId val="122159488"/>
        <c:scaling>
          <c:orientation val="minMax"/>
          <c:min val="35"/>
        </c:scaling>
        <c:axPos val="b"/>
        <c:title>
          <c:tx>
            <c:rich>
              <a:bodyPr/>
              <a:lstStyle/>
              <a:p>
                <a:pPr>
                  <a:defRPr/>
                </a:pPr>
                <a:r>
                  <a:rPr lang="en-US"/>
                  <a:t>GDP per capita in 2019 (EU=100%)</a:t>
                </a:r>
              </a:p>
            </c:rich>
          </c:tx>
        </c:title>
        <c:numFmt formatCode="#,##0" sourceLinked="1"/>
        <c:tickLblPos val="low"/>
        <c:crossAx val="122161408"/>
        <c:crosses val="autoZero"/>
        <c:crossBetween val="midCat"/>
      </c:valAx>
      <c:valAx>
        <c:axId val="122161408"/>
        <c:scaling>
          <c:orientation val="minMax"/>
        </c:scaling>
        <c:axPos val="l"/>
        <c:title>
          <c:tx>
            <c:rich>
              <a:bodyPr rot="-5400000" vert="horz"/>
              <a:lstStyle/>
              <a:p>
                <a:pPr>
                  <a:defRPr/>
                </a:pPr>
                <a:r>
                  <a:rPr lang="en-US"/>
                  <a:t>Alleviation of the poverty risk rate (p.p.)</a:t>
                </a:r>
              </a:p>
            </c:rich>
          </c:tx>
        </c:title>
        <c:numFmt formatCode="0.0" sourceLinked="1"/>
        <c:tickLblPos val="nextTo"/>
        <c:crossAx val="122159488"/>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26AA-43B3-43A7-A2FE-A78BC8CF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5744</Words>
  <Characters>32745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Notă</vt:lpstr>
    </vt:vector>
  </TitlesOfParts>
  <Company>Office07</Company>
  <LinksUpToDate>false</LinksUpToDate>
  <CharactersWithSpaces>38413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dc:title>
  <dc:creator>Windows User</dc:creator>
  <cp:lastModifiedBy>user</cp:lastModifiedBy>
  <cp:revision>2</cp:revision>
  <cp:lastPrinted>2022-02-21T11:01:00Z</cp:lastPrinted>
  <dcterms:created xsi:type="dcterms:W3CDTF">2022-03-04T10:02:00Z</dcterms:created>
  <dcterms:modified xsi:type="dcterms:W3CDTF">2022-03-04T10:02:00Z</dcterms:modified>
</cp:coreProperties>
</file>